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Lines="50"/>
        <w:ind w:firstLine="0" w:firstLineChars="0"/>
        <w:rPr>
          <w:rFonts w:eastAsia="方正小标宋简体" w:cs="Times New Roman"/>
          <w:b/>
          <w:sz w:val="44"/>
          <w:szCs w:val="44"/>
        </w:rPr>
      </w:pPr>
      <w:r>
        <w:drawing>
          <wp:anchor distT="0" distB="0" distL="114300" distR="114300" simplePos="0" relativeHeight="251659264" behindDoc="0" locked="0" layoutInCell="1" allowOverlap="1">
            <wp:simplePos x="0" y="0"/>
            <wp:positionH relativeFrom="column">
              <wp:posOffset>-204470</wp:posOffset>
            </wp:positionH>
            <wp:positionV relativeFrom="paragraph">
              <wp:posOffset>-217170</wp:posOffset>
            </wp:positionV>
            <wp:extent cx="2190115" cy="748665"/>
            <wp:effectExtent l="0" t="0" r="635" b="13335"/>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8" cstate="print"/>
                    <a:stretch>
                      <a:fillRect/>
                    </a:stretch>
                  </pic:blipFill>
                  <pic:spPr>
                    <a:xfrm>
                      <a:off x="0" y="0"/>
                      <a:ext cx="2190115" cy="748665"/>
                    </a:xfrm>
                    <a:prstGeom prst="rect">
                      <a:avLst/>
                    </a:prstGeom>
                    <a:noFill/>
                    <a:ln>
                      <a:noFill/>
                    </a:ln>
                  </pic:spPr>
                </pic:pic>
              </a:graphicData>
            </a:graphic>
          </wp:anchor>
        </w:drawing>
      </w:r>
    </w:p>
    <w:p>
      <w:pPr>
        <w:widowControl w:val="0"/>
        <w:spacing w:afterLines="50"/>
        <w:ind w:firstLine="0" w:firstLineChars="0"/>
        <w:jc w:val="center"/>
        <w:rPr>
          <w:rFonts w:eastAsia="方正小标宋简体" w:cs="Times New Roman"/>
          <w:b/>
          <w:sz w:val="52"/>
          <w:szCs w:val="52"/>
        </w:rPr>
      </w:pPr>
    </w:p>
    <w:p>
      <w:pPr>
        <w:widowControl w:val="0"/>
        <w:spacing w:afterLines="50"/>
        <w:ind w:firstLine="0" w:firstLineChars="0"/>
        <w:jc w:val="center"/>
        <w:rPr>
          <w:rFonts w:eastAsia="方正小标宋简体" w:cs="Times New Roman"/>
          <w:b/>
          <w:sz w:val="52"/>
          <w:szCs w:val="52"/>
        </w:rPr>
      </w:pPr>
    </w:p>
    <w:p>
      <w:pPr>
        <w:widowControl w:val="0"/>
        <w:spacing w:afterLines="50"/>
        <w:ind w:firstLine="0" w:firstLineChars="0"/>
        <w:jc w:val="center"/>
        <w:rPr>
          <w:rFonts w:eastAsia="方正小标宋简体" w:cs="Times New Roman"/>
          <w:b/>
          <w:sz w:val="52"/>
          <w:szCs w:val="52"/>
        </w:rPr>
      </w:pPr>
      <w:r>
        <w:rPr>
          <w:rFonts w:hint="eastAsia" w:eastAsia="方正小标宋简体" w:cs="Times New Roman"/>
          <w:b/>
          <w:sz w:val="52"/>
          <w:szCs w:val="52"/>
        </w:rPr>
        <w:t>学术</w:t>
      </w:r>
      <w:r>
        <w:rPr>
          <w:rFonts w:eastAsia="方正小标宋简体" w:cs="Times New Roman"/>
          <w:b/>
          <w:sz w:val="52"/>
          <w:szCs w:val="52"/>
        </w:rPr>
        <w:t>学位授权点</w:t>
      </w:r>
      <w:r>
        <w:rPr>
          <w:rFonts w:hint="eastAsia" w:eastAsia="方正小标宋简体" w:cs="Times New Roman"/>
          <w:b/>
          <w:sz w:val="52"/>
          <w:szCs w:val="52"/>
        </w:rPr>
        <w:t>建设年度</w:t>
      </w:r>
      <w:r>
        <w:rPr>
          <w:rFonts w:eastAsia="方正小标宋简体" w:cs="Times New Roman"/>
          <w:b/>
          <w:sz w:val="52"/>
          <w:szCs w:val="52"/>
        </w:rPr>
        <w:t>报告</w:t>
      </w:r>
    </w:p>
    <w:p>
      <w:pPr>
        <w:spacing w:afterLines="50"/>
        <w:ind w:firstLine="2732" w:firstLineChars="621"/>
        <w:rPr>
          <w:rStyle w:val="11"/>
          <w:rFonts w:ascii="Times New Roman" w:hAnsi="Times New Roman" w:eastAsia="方正小标宋简体"/>
          <w:bCs/>
          <w:sz w:val="44"/>
          <w:szCs w:val="44"/>
        </w:rPr>
      </w:pPr>
      <w:r>
        <w:rPr>
          <w:rStyle w:val="11"/>
          <w:rFonts w:hint="eastAsia" w:ascii="Times New Roman" w:hAnsi="Times New Roman" w:eastAsia="方正小标宋简体"/>
          <w:bCs/>
          <w:sz w:val="44"/>
          <w:szCs w:val="44"/>
        </w:rPr>
        <w:t>（2022年）</w:t>
      </w:r>
    </w:p>
    <w:p>
      <w:pPr>
        <w:pStyle w:val="2"/>
        <w:ind w:firstLine="560"/>
        <w:rPr>
          <w:rFonts w:ascii="Times New Roman" w:hAnsi="Times New Roman"/>
        </w:rPr>
      </w:pPr>
    </w:p>
    <w:p>
      <w:pPr>
        <w:widowControl w:val="0"/>
        <w:spacing w:afterLines="50"/>
        <w:ind w:firstLine="0" w:firstLineChars="0"/>
        <w:jc w:val="center"/>
        <w:rPr>
          <w:rFonts w:eastAsia="方正小标宋简体" w:cs="Times New Roman"/>
          <w:b/>
          <w:sz w:val="44"/>
          <w:szCs w:val="44"/>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spacing w:line="200" w:lineRule="atLeast"/>
              <w:ind w:firstLine="0" w:firstLineChars="0"/>
              <w:jc w:val="distribute"/>
              <w:rPr>
                <w:rFonts w:eastAsia="楷体_GB2312" w:cs="Times New Roman"/>
                <w:b/>
                <w:kern w:val="0"/>
                <w:sz w:val="32"/>
                <w:szCs w:val="32"/>
              </w:rPr>
            </w:pPr>
            <w:r>
              <w:rPr>
                <w:rFonts w:eastAsia="楷体_GB2312" w:cs="Times New Roman"/>
                <w:b/>
                <w:kern w:val="0"/>
                <w:sz w:val="32"/>
                <w:szCs w:val="32"/>
              </w:rPr>
              <w:t>学位授予</w:t>
            </w:r>
          </w:p>
          <w:p>
            <w:pPr>
              <w:widowControl w:val="0"/>
              <w:spacing w:line="200" w:lineRule="atLeast"/>
              <w:ind w:firstLine="0" w:firstLineChars="0"/>
              <w:jc w:val="distribute"/>
              <w:rPr>
                <w:rFonts w:eastAsia="楷体_GB2312" w:cs="Times New Roman"/>
                <w:b/>
                <w:kern w:val="0"/>
                <w:sz w:val="32"/>
                <w:szCs w:val="32"/>
              </w:rPr>
            </w:pPr>
            <w:r>
              <w:rPr>
                <w:rFonts w:eastAsia="楷体_GB2312" w:cs="Times New Roman"/>
                <w:b/>
                <w:kern w:val="0"/>
                <w:sz w:val="32"/>
                <w:szCs w:val="32"/>
              </w:rPr>
              <w:t>单位</w:t>
            </w:r>
          </w:p>
        </w:tc>
        <w:tc>
          <w:tcPr>
            <w:tcW w:w="3381" w:type="dxa"/>
            <w:tcBorders>
              <w:bottom w:val="single" w:color="auto" w:sz="4" w:space="0"/>
            </w:tcBorders>
            <w:vAlign w:val="center"/>
          </w:tcPr>
          <w:p>
            <w:pPr>
              <w:widowControl w:val="0"/>
              <w:spacing w:line="240" w:lineRule="auto"/>
              <w:ind w:firstLine="0" w:firstLineChars="0"/>
              <w:rPr>
                <w:rFonts w:eastAsia="楷体_GB2312" w:cs="Times New Roman"/>
                <w:b/>
                <w:kern w:val="0"/>
                <w:sz w:val="32"/>
                <w:szCs w:val="32"/>
              </w:rPr>
            </w:pPr>
            <w:r>
              <w:rPr>
                <w:rFonts w:eastAsia="楷体_GB2312" w:cs="Times New Roman"/>
                <w:b/>
                <w:kern w:val="0"/>
                <w:sz w:val="32"/>
                <w:szCs w:val="32"/>
              </w:rPr>
              <w:t>名称：</w:t>
            </w:r>
            <w:r>
              <w:rPr>
                <w:rFonts w:hint="eastAsia" w:eastAsia="楷体_GB2312" w:cs="Times New Roman"/>
                <w:b/>
                <w:kern w:val="0"/>
                <w:sz w:val="32"/>
                <w:szCs w:val="32"/>
              </w:rPr>
              <w:t>江西农业大学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eastAsia="楷体_GB2312" w:cs="Times New Roman"/>
                <w:b/>
                <w:kern w:val="0"/>
                <w:sz w:val="32"/>
                <w:szCs w:val="32"/>
              </w:rPr>
            </w:pPr>
          </w:p>
        </w:tc>
        <w:tc>
          <w:tcPr>
            <w:tcW w:w="3381" w:type="dxa"/>
            <w:tcBorders>
              <w:top w:val="single" w:color="auto" w:sz="4" w:space="0"/>
            </w:tcBorders>
            <w:vAlign w:val="center"/>
          </w:tcPr>
          <w:p>
            <w:pPr>
              <w:widowControl w:val="0"/>
              <w:spacing w:line="240" w:lineRule="auto"/>
              <w:ind w:firstLine="0" w:firstLineChars="0"/>
              <w:rPr>
                <w:rFonts w:eastAsia="楷体_GB2312" w:cs="Times New Roman"/>
                <w:b/>
                <w:kern w:val="0"/>
                <w:sz w:val="32"/>
                <w:szCs w:val="32"/>
              </w:rPr>
            </w:pPr>
            <w:r>
              <w:rPr>
                <w:rFonts w:eastAsia="楷体_GB2312" w:cs="Times New Roman"/>
                <w:b/>
                <w:kern w:val="0"/>
                <w:sz w:val="32"/>
                <w:szCs w:val="32"/>
              </w:rPr>
              <w:t>代码：</w:t>
            </w:r>
            <w:r>
              <w:rPr>
                <w:rFonts w:hint="eastAsia" w:eastAsia="楷体_GB2312" w:cs="Times New Roman"/>
                <w:b/>
                <w:kern w:val="0"/>
                <w:sz w:val="32"/>
                <w:szCs w:val="32"/>
              </w:rPr>
              <w:t>10410</w:t>
            </w:r>
          </w:p>
        </w:tc>
      </w:tr>
    </w:tbl>
    <w:p>
      <w:pPr>
        <w:widowControl w:val="0"/>
        <w:spacing w:line="720" w:lineRule="auto"/>
        <w:ind w:firstLine="0" w:firstLineChars="0"/>
        <w:jc w:val="center"/>
        <w:rPr>
          <w:rFonts w:eastAsia="楷体_GB2312" w:cs="Times New Roman"/>
          <w:b/>
          <w:sz w:val="30"/>
          <w:szCs w:val="30"/>
        </w:rPr>
      </w:pPr>
    </w:p>
    <w:tbl>
      <w:tblPr>
        <w:tblStyle w:val="7"/>
        <w:tblW w:w="5527"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67"/>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PrEx>
        <w:tc>
          <w:tcPr>
            <w:tcW w:w="2160" w:type="dxa"/>
            <w:vMerge w:val="restart"/>
            <w:vAlign w:val="center"/>
          </w:tcPr>
          <w:p>
            <w:pPr>
              <w:widowControl w:val="0"/>
              <w:spacing w:line="240" w:lineRule="auto"/>
              <w:ind w:firstLine="0" w:firstLineChars="0"/>
              <w:jc w:val="distribute"/>
              <w:rPr>
                <w:rFonts w:eastAsia="楷体_GB2312" w:cs="Times New Roman"/>
                <w:b/>
                <w:kern w:val="0"/>
                <w:sz w:val="32"/>
                <w:szCs w:val="32"/>
              </w:rPr>
            </w:pPr>
            <w:r>
              <w:rPr>
                <w:rFonts w:eastAsia="楷体_GB2312" w:cs="Times New Roman"/>
                <w:b/>
                <w:kern w:val="0"/>
                <w:sz w:val="32"/>
                <w:szCs w:val="32"/>
              </w:rPr>
              <w:t>授权学科</w:t>
            </w:r>
          </w:p>
          <w:p>
            <w:pPr>
              <w:widowControl w:val="0"/>
              <w:spacing w:line="240" w:lineRule="auto"/>
              <w:ind w:firstLine="0" w:firstLineChars="0"/>
              <w:jc w:val="distribute"/>
              <w:rPr>
                <w:rFonts w:eastAsia="楷体_GB2312" w:cs="Times New Roman"/>
                <w:b/>
                <w:kern w:val="0"/>
                <w:sz w:val="32"/>
                <w:szCs w:val="32"/>
              </w:rPr>
            </w:pPr>
            <w:r>
              <w:rPr>
                <w:rFonts w:eastAsia="楷体_GB2312" w:cs="Times New Roman"/>
                <w:b/>
                <w:kern w:val="0"/>
                <w:sz w:val="32"/>
                <w:szCs w:val="32"/>
              </w:rPr>
              <w:t>（类别）</w:t>
            </w:r>
          </w:p>
        </w:tc>
        <w:tc>
          <w:tcPr>
            <w:tcW w:w="3367" w:type="dxa"/>
            <w:tcBorders>
              <w:bottom w:val="single" w:color="auto" w:sz="4" w:space="0"/>
            </w:tcBorders>
            <w:vAlign w:val="center"/>
          </w:tcPr>
          <w:p>
            <w:pPr>
              <w:widowControl w:val="0"/>
              <w:spacing w:line="240" w:lineRule="auto"/>
              <w:ind w:firstLine="0" w:firstLineChars="0"/>
              <w:rPr>
                <w:rFonts w:eastAsia="楷体_GB2312" w:cs="Times New Roman"/>
                <w:b/>
                <w:kern w:val="0"/>
                <w:sz w:val="32"/>
                <w:szCs w:val="32"/>
              </w:rPr>
            </w:pPr>
            <w:r>
              <w:rPr>
                <w:rFonts w:eastAsia="楷体_GB2312" w:cs="Times New Roman"/>
                <w:b/>
                <w:kern w:val="0"/>
                <w:sz w:val="32"/>
                <w:szCs w:val="32"/>
              </w:rPr>
              <w:t>名称：</w:t>
            </w:r>
            <w:r>
              <w:rPr>
                <w:rFonts w:hint="eastAsia" w:eastAsia="楷体_GB2312" w:cs="Times New Roman"/>
                <w:b/>
                <w:kern w:val="0"/>
                <w:sz w:val="32"/>
                <w:szCs w:val="32"/>
              </w:rPr>
              <w:t>生态学</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spacing w:line="240" w:lineRule="auto"/>
              <w:ind w:firstLine="666" w:firstLineChars="0"/>
              <w:jc w:val="center"/>
              <w:rPr>
                <w:rFonts w:eastAsia="楷体_GB2312" w:cs="Times New Roman"/>
                <w:b/>
                <w:kern w:val="0"/>
                <w:sz w:val="32"/>
                <w:szCs w:val="32"/>
              </w:rPr>
            </w:pPr>
          </w:p>
        </w:tc>
        <w:tc>
          <w:tcPr>
            <w:tcW w:w="3367" w:type="dxa"/>
            <w:tcBorders>
              <w:top w:val="single" w:color="auto" w:sz="4" w:space="0"/>
            </w:tcBorders>
            <w:vAlign w:val="center"/>
          </w:tcPr>
          <w:p>
            <w:pPr>
              <w:widowControl w:val="0"/>
              <w:spacing w:line="240" w:lineRule="auto"/>
              <w:ind w:firstLine="0" w:firstLineChars="0"/>
              <w:rPr>
                <w:rFonts w:eastAsia="楷体_GB2312" w:cs="Times New Roman"/>
                <w:b/>
                <w:kern w:val="0"/>
                <w:sz w:val="32"/>
                <w:szCs w:val="32"/>
              </w:rPr>
            </w:pPr>
            <w:r>
              <w:rPr>
                <w:rFonts w:eastAsia="楷体_GB2312" w:cs="Times New Roman"/>
                <w:b/>
                <w:kern w:val="0"/>
                <w:sz w:val="32"/>
                <w:szCs w:val="32"/>
              </w:rPr>
              <w:t>代码：</w:t>
            </w:r>
            <w:r>
              <w:rPr>
                <w:rFonts w:hint="eastAsia" w:eastAsia="楷体_GB2312" w:cs="Times New Roman"/>
                <w:b/>
                <w:kern w:val="0"/>
                <w:sz w:val="32"/>
                <w:szCs w:val="32"/>
              </w:rPr>
              <w:t>0</w:t>
            </w:r>
            <w:r>
              <w:rPr>
                <w:rFonts w:eastAsia="楷体_GB2312" w:cs="Times New Roman"/>
                <w:b/>
                <w:kern w:val="0"/>
                <w:sz w:val="32"/>
                <w:szCs w:val="32"/>
              </w:rPr>
              <w:t>713</w:t>
            </w:r>
          </w:p>
        </w:tc>
      </w:tr>
    </w:tbl>
    <w:p>
      <w:pPr>
        <w:widowControl w:val="0"/>
        <w:spacing w:line="720" w:lineRule="auto"/>
        <w:ind w:firstLine="0" w:firstLineChars="0"/>
        <w:jc w:val="center"/>
        <w:rPr>
          <w:rFonts w:eastAsia="楷体_GB2312" w:cs="Times New Roman"/>
          <w:b/>
          <w:sz w:val="30"/>
          <w:szCs w:val="30"/>
        </w:rPr>
      </w:pPr>
    </w:p>
    <w:tbl>
      <w:tblPr>
        <w:tblStyle w:val="7"/>
        <w:tblW w:w="5541" w:type="dxa"/>
        <w:tblInd w:w="1728" w:type="dxa"/>
        <w:tblBorders>
          <w:top w:val="none" w:color="auto" w:sz="0" w:space="0"/>
          <w:left w:val="none" w:color="auto" w:sz="0" w:space="0"/>
          <w:bottom w:val="none" w:color="auto" w:sz="0" w:space="0"/>
          <w:right w:val="none" w:color="auto" w:sz="0" w:space="0"/>
          <w:insideH w:val="none" w:color="auto" w:sz="0" w:space="0"/>
          <w:insideV w:val="single" w:color="auto" w:sz="4" w:space="0"/>
        </w:tblBorders>
        <w:tblLayout w:type="fixed"/>
        <w:tblCellMar>
          <w:top w:w="0" w:type="dxa"/>
          <w:left w:w="108" w:type="dxa"/>
          <w:bottom w:w="0" w:type="dxa"/>
          <w:right w:w="108" w:type="dxa"/>
        </w:tblCellMar>
      </w:tblPr>
      <w:tblGrid>
        <w:gridCol w:w="2160"/>
        <w:gridCol w:w="3381"/>
      </w:tblGrid>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restart"/>
            <w:vAlign w:val="center"/>
          </w:tcPr>
          <w:p>
            <w:pPr>
              <w:widowControl w:val="0"/>
              <w:ind w:firstLine="0" w:firstLineChars="0"/>
              <w:jc w:val="distribute"/>
              <w:rPr>
                <w:rFonts w:eastAsia="楷体_GB2312" w:cs="Times New Roman"/>
                <w:b/>
                <w:kern w:val="0"/>
                <w:sz w:val="32"/>
                <w:szCs w:val="32"/>
              </w:rPr>
            </w:pPr>
            <w:r>
              <w:rPr>
                <w:rFonts w:hint="eastAsia" w:eastAsia="楷体_GB2312" w:cs="楷体_GB2312"/>
                <w:b/>
                <w:bCs/>
                <w:color w:val="000000"/>
                <w:kern w:val="0"/>
                <w:sz w:val="32"/>
                <w:szCs w:val="32"/>
              </w:rPr>
              <w:t>授权级别</w:t>
            </w:r>
          </w:p>
        </w:tc>
        <w:tc>
          <w:tcPr>
            <w:tcW w:w="3381" w:type="dxa"/>
            <w:tcBorders>
              <w:bottom w:val="single" w:color="auto" w:sz="4" w:space="0"/>
            </w:tcBorders>
            <w:vAlign w:val="center"/>
          </w:tcPr>
          <w:p>
            <w:pPr>
              <w:widowControl w:val="0"/>
              <w:ind w:firstLine="0" w:firstLineChars="0"/>
              <w:rPr>
                <w:rFonts w:eastAsia="楷体_GB2312" w:cs="Times New Roman"/>
                <w:b/>
                <w:kern w:val="0"/>
                <w:sz w:val="32"/>
                <w:szCs w:val="32"/>
              </w:rPr>
            </w:pPr>
            <w:sdt>
              <w:sdtPr>
                <w:rPr>
                  <w:rFonts w:hint="eastAsia" w:eastAsia="楷体_GB2312" w:cs="楷体_GB2312"/>
                  <w:b/>
                  <w:bCs/>
                  <w:color w:val="000000"/>
                  <w:kern w:val="0"/>
                  <w:sz w:val="32"/>
                  <w:szCs w:val="32"/>
                </w:rPr>
                <w:id w:val="-1365437306"/>
              </w:sdtPr>
              <w:sdtEndPr>
                <w:rPr>
                  <w:rFonts w:hint="eastAsia" w:eastAsia="楷体_GB2312" w:cs="楷体_GB2312"/>
                  <w:b/>
                  <w:bCs/>
                  <w:color w:val="000000"/>
                  <w:kern w:val="0"/>
                  <w:sz w:val="32"/>
                  <w:szCs w:val="32"/>
                </w:rPr>
              </w:sdtEndPr>
              <w:sdtContent>
                <w:r>
                  <w:rPr>
                    <w:rFonts w:hint="eastAsia" w:eastAsia="MS Gothic" w:cs="楷体_GB2312"/>
                    <w:b/>
                    <w:bCs/>
                    <w:color w:val="000000"/>
                    <w:kern w:val="0"/>
                    <w:sz w:val="32"/>
                    <w:szCs w:val="32"/>
                  </w:rPr>
                  <w:t>☐</w:t>
                </w:r>
              </w:sdtContent>
            </w:sdt>
            <w:r>
              <w:rPr>
                <w:rFonts w:hint="eastAsia" w:eastAsia="楷体_GB2312" w:cs="楷体_GB2312"/>
                <w:b/>
                <w:bCs/>
                <w:color w:val="000000"/>
                <w:kern w:val="0"/>
                <w:sz w:val="32"/>
                <w:szCs w:val="32"/>
              </w:rPr>
              <w:t>博士</w:t>
            </w:r>
          </w:p>
        </w:tc>
      </w:tr>
      <w:tr>
        <w:tblPrEx>
          <w:tblBorders>
            <w:top w:val="none" w:color="auto" w:sz="0" w:space="0"/>
            <w:left w:val="none" w:color="auto" w:sz="0" w:space="0"/>
            <w:bottom w:val="none" w:color="auto" w:sz="0" w:space="0"/>
            <w:right w:val="none" w:color="auto" w:sz="0" w:space="0"/>
            <w:insideH w:val="none" w:color="auto" w:sz="0" w:space="0"/>
            <w:insideV w:val="single" w:color="auto" w:sz="4" w:space="0"/>
          </w:tblBorders>
          <w:tblCellMar>
            <w:top w:w="0" w:type="dxa"/>
            <w:left w:w="108" w:type="dxa"/>
            <w:bottom w:w="0" w:type="dxa"/>
            <w:right w:w="108" w:type="dxa"/>
          </w:tblCellMar>
        </w:tblPrEx>
        <w:tc>
          <w:tcPr>
            <w:tcW w:w="2160" w:type="dxa"/>
            <w:vMerge w:val="continue"/>
          </w:tcPr>
          <w:p>
            <w:pPr>
              <w:widowControl w:val="0"/>
              <w:ind w:firstLine="708"/>
              <w:jc w:val="center"/>
              <w:rPr>
                <w:rFonts w:eastAsia="楷体_GB2312" w:cs="Times New Roman"/>
                <w:b/>
                <w:kern w:val="0"/>
                <w:sz w:val="32"/>
                <w:szCs w:val="32"/>
              </w:rPr>
            </w:pPr>
          </w:p>
        </w:tc>
        <w:tc>
          <w:tcPr>
            <w:tcW w:w="3381" w:type="dxa"/>
            <w:tcBorders>
              <w:top w:val="single" w:color="auto" w:sz="4" w:space="0"/>
              <w:bottom w:val="single" w:color="auto" w:sz="4" w:space="0"/>
            </w:tcBorders>
            <w:vAlign w:val="center"/>
          </w:tcPr>
          <w:p>
            <w:pPr>
              <w:widowControl w:val="0"/>
              <w:ind w:firstLine="0" w:firstLineChars="0"/>
              <w:rPr>
                <w:rFonts w:eastAsia="楷体_GB2312" w:cs="Times New Roman"/>
                <w:b/>
                <w:kern w:val="0"/>
                <w:sz w:val="32"/>
                <w:szCs w:val="32"/>
              </w:rPr>
            </w:pPr>
            <w:sdt>
              <w:sdtPr>
                <w:rPr>
                  <w:rFonts w:hint="eastAsia" w:eastAsia="楷体_GB2312" w:cs="楷体_GB2312"/>
                  <w:b/>
                  <w:bCs/>
                  <w:color w:val="000000"/>
                  <w:kern w:val="0"/>
                  <w:sz w:val="32"/>
                  <w:szCs w:val="32"/>
                </w:rPr>
                <w:id w:val="-241571878"/>
              </w:sdtPr>
              <w:sdtEndPr>
                <w:rPr>
                  <w:rFonts w:hint="eastAsia" w:eastAsia="楷体_GB2312" w:cs="楷体_GB2312"/>
                  <w:b/>
                  <w:bCs/>
                  <w:color w:val="000000"/>
                  <w:kern w:val="0"/>
                  <w:sz w:val="32"/>
                  <w:szCs w:val="32"/>
                </w:rPr>
              </w:sdtEndPr>
              <w:sdtContent>
                <w:r>
                  <w:rPr>
                    <w:rFonts w:hint="eastAsia" w:eastAsia="楷体_GB2312" w:cs="楷体_GB2312"/>
                    <w:b/>
                    <w:bCs/>
                    <w:color w:val="000000"/>
                    <w:kern w:val="0"/>
                    <w:sz w:val="32"/>
                    <w:szCs w:val="32"/>
                  </w:rPr>
                  <w:t>√</w:t>
                </w:r>
              </w:sdtContent>
            </w:sdt>
            <w:r>
              <w:rPr>
                <w:rFonts w:hint="eastAsia" w:eastAsia="楷体_GB2312" w:cs="楷体_GB2312"/>
                <w:b/>
                <w:bCs/>
                <w:color w:val="000000"/>
                <w:kern w:val="0"/>
                <w:sz w:val="32"/>
                <w:szCs w:val="32"/>
              </w:rPr>
              <w:t>硕士</w:t>
            </w:r>
          </w:p>
        </w:tc>
      </w:tr>
    </w:tbl>
    <w:p>
      <w:pPr>
        <w:widowControl w:val="0"/>
        <w:spacing w:line="240" w:lineRule="auto"/>
        <w:ind w:firstLine="0" w:firstLineChars="0"/>
        <w:rPr>
          <w:rFonts w:eastAsia="楷体_GB2312" w:cs="Times New Roman"/>
          <w:b/>
          <w:sz w:val="30"/>
          <w:szCs w:val="30"/>
        </w:rPr>
      </w:pPr>
    </w:p>
    <w:p>
      <w:pPr>
        <w:widowControl w:val="0"/>
        <w:spacing w:line="240" w:lineRule="auto"/>
        <w:ind w:firstLine="0" w:firstLineChars="0"/>
        <w:rPr>
          <w:rFonts w:eastAsia="楷体_GB2312" w:cs="Times New Roman"/>
          <w:b/>
          <w:sz w:val="30"/>
          <w:szCs w:val="30"/>
        </w:rPr>
      </w:pPr>
    </w:p>
    <w:p>
      <w:pPr>
        <w:pStyle w:val="2"/>
        <w:ind w:firstLine="560"/>
        <w:rPr>
          <w:rFonts w:ascii="Times New Roman" w:hAnsi="Times New Roman"/>
        </w:rPr>
      </w:pPr>
    </w:p>
    <w:p>
      <w:pPr>
        <w:widowControl w:val="0"/>
        <w:spacing w:line="240" w:lineRule="auto"/>
        <w:ind w:firstLine="0" w:firstLineChars="0"/>
        <w:jc w:val="center"/>
        <w:rPr>
          <w:rFonts w:eastAsia="楷体_GB2312" w:cs="Times New Roman"/>
          <w:b/>
          <w:sz w:val="32"/>
          <w:szCs w:val="32"/>
        </w:rPr>
      </w:pPr>
      <w:r>
        <w:rPr>
          <w:rFonts w:eastAsia="楷体_GB2312" w:cs="Times New Roman"/>
          <w:b/>
          <w:sz w:val="32"/>
          <w:szCs w:val="32"/>
        </w:rPr>
        <w:t>20</w:t>
      </w:r>
      <w:r>
        <w:rPr>
          <w:rFonts w:hint="eastAsia" w:eastAsia="楷体_GB2312" w:cs="Times New Roman"/>
          <w:b/>
          <w:sz w:val="32"/>
          <w:szCs w:val="32"/>
        </w:rPr>
        <w:t>23</w:t>
      </w:r>
      <w:r>
        <w:rPr>
          <w:rFonts w:eastAsia="楷体_GB2312" w:cs="Times New Roman"/>
          <w:b/>
          <w:sz w:val="32"/>
          <w:szCs w:val="32"/>
        </w:rPr>
        <w:t>年</w:t>
      </w:r>
      <w:r>
        <w:rPr>
          <w:rFonts w:hint="eastAsia" w:eastAsia="楷体_GB2312" w:cs="Times New Roman"/>
          <w:b/>
          <w:sz w:val="32"/>
          <w:szCs w:val="32"/>
        </w:rPr>
        <w:t>2</w:t>
      </w:r>
      <w:r>
        <w:rPr>
          <w:rFonts w:eastAsia="楷体_GB2312" w:cs="Times New Roman"/>
          <w:b/>
          <w:sz w:val="32"/>
          <w:szCs w:val="32"/>
        </w:rPr>
        <w:t>月</w:t>
      </w:r>
      <w:r>
        <w:rPr>
          <w:rFonts w:hint="eastAsia" w:eastAsia="楷体_GB2312" w:cs="Times New Roman"/>
          <w:b/>
          <w:sz w:val="32"/>
          <w:szCs w:val="32"/>
        </w:rPr>
        <w:t>21</w:t>
      </w:r>
      <w:r>
        <w:rPr>
          <w:rFonts w:eastAsia="楷体_GB2312" w:cs="Times New Roman"/>
          <w:b/>
          <w:sz w:val="32"/>
          <w:szCs w:val="32"/>
        </w:rPr>
        <w:t>日</w:t>
      </w:r>
    </w:p>
    <w:p>
      <w:pPr>
        <w:widowControl w:val="0"/>
        <w:spacing w:afterLines="50" w:line="400" w:lineRule="exact"/>
        <w:ind w:firstLine="0" w:firstLineChars="0"/>
        <w:jc w:val="center"/>
        <w:rPr>
          <w:rFonts w:eastAsia="楷体_GB2312" w:cs="Times New Roman"/>
          <w:b/>
          <w:sz w:val="32"/>
          <w:szCs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widowControl w:val="0"/>
        <w:spacing w:afterLines="50" w:line="400" w:lineRule="exact"/>
        <w:ind w:firstLine="0" w:firstLineChars="0"/>
        <w:jc w:val="center"/>
        <w:rPr>
          <w:rFonts w:eastAsia="楷体_GB2312" w:cs="Times New Roman"/>
          <w:b/>
          <w:sz w:val="32"/>
          <w:szCs w:val="32"/>
        </w:rPr>
      </w:pPr>
      <w:r>
        <w:rPr>
          <w:rFonts w:eastAsia="楷体_GB2312" w:cs="Times New Roman"/>
          <w:b/>
          <w:sz w:val="32"/>
          <w:szCs w:val="32"/>
        </w:rPr>
        <w:t>编 写 说 明</w:t>
      </w:r>
    </w:p>
    <w:p>
      <w:pPr>
        <w:ind w:firstLine="619"/>
      </w:pPr>
      <w:r>
        <w:rPr>
          <w:rFonts w:hint="eastAsia"/>
        </w:rPr>
        <w:t>一</w:t>
      </w:r>
      <w:r>
        <w:t>、</w:t>
      </w:r>
      <w:r>
        <w:rPr>
          <w:spacing w:val="2"/>
        </w:rPr>
        <w:t>本报告采取写实性描述，能用数据定量描述的，不得定性描述。定量数据除总量外，尽可能用师均、生均或比例描述。报告中所描述的内容和数据应确属本学位点，必须真实、</w:t>
      </w:r>
      <w:r>
        <w:t>准确，有据可查。</w:t>
      </w:r>
    </w:p>
    <w:p>
      <w:pPr>
        <w:ind w:firstLine="619"/>
        <w:rPr>
          <w:spacing w:val="2"/>
        </w:rPr>
      </w:pPr>
      <w:r>
        <w:rPr>
          <w:rFonts w:hint="eastAsia"/>
        </w:rPr>
        <w:t>二</w:t>
      </w:r>
      <w:r>
        <w:t>、本报告的</w:t>
      </w:r>
      <w:r>
        <w:rPr>
          <w:spacing w:val="2"/>
        </w:rPr>
        <w:t>各项内容须是本学位点</w:t>
      </w:r>
      <w:r>
        <w:rPr>
          <w:rFonts w:hint="eastAsia"/>
          <w:b/>
          <w:bCs/>
          <w:spacing w:val="2"/>
        </w:rPr>
        <w:t>202X年度</w:t>
      </w:r>
      <w:r>
        <w:rPr>
          <w:spacing w:val="2"/>
        </w:rPr>
        <w:t>的情况，统计时间以</w:t>
      </w:r>
      <w:r>
        <w:rPr>
          <w:rFonts w:hint="eastAsia"/>
          <w:spacing w:val="2"/>
        </w:rPr>
        <w:t>202X年12月3</w:t>
      </w:r>
      <w:r>
        <w:rPr>
          <w:spacing w:val="2"/>
        </w:rPr>
        <w:t>1</w:t>
      </w:r>
      <w:r>
        <w:rPr>
          <w:rFonts w:hint="eastAsia"/>
          <w:spacing w:val="2"/>
        </w:rPr>
        <w:t>日</w:t>
      </w:r>
      <w:r>
        <w:rPr>
          <w:spacing w:val="2"/>
        </w:rPr>
        <w:t>为截止时间。</w:t>
      </w:r>
    </w:p>
    <w:p>
      <w:pPr>
        <w:ind w:firstLine="619"/>
      </w:pPr>
      <w:r>
        <w:rPr>
          <w:rFonts w:hint="eastAsia"/>
        </w:rPr>
        <w:t>三</w:t>
      </w:r>
      <w:r>
        <w:t>、本报告所涉及的师资</w:t>
      </w:r>
      <w:r>
        <w:rPr>
          <w:rFonts w:hint="eastAsia"/>
        </w:rPr>
        <w:t>内容应区分</w:t>
      </w:r>
      <w:r>
        <w:t>目前人事关系隶属本单位的专职人员</w:t>
      </w:r>
      <w:r>
        <w:rPr>
          <w:rFonts w:hint="eastAsia"/>
        </w:rPr>
        <w:t>和兼职导师</w:t>
      </w:r>
      <w:r>
        <w:t>（同一人员原则上不得在不同学术学位点或不同专业学位点重复</w:t>
      </w:r>
      <w:r>
        <w:rPr>
          <w:rFonts w:hint="eastAsia"/>
        </w:rPr>
        <w:t>统计或</w:t>
      </w:r>
      <w:r>
        <w:t>填写）。</w:t>
      </w:r>
    </w:p>
    <w:p>
      <w:pPr>
        <w:ind w:firstLine="619"/>
      </w:pPr>
      <w:r>
        <w:rPr>
          <w:rFonts w:hint="eastAsia"/>
        </w:rPr>
        <w:t>四</w:t>
      </w:r>
      <w:r>
        <w:t>、本报告中所涉及的成果（论文、专著、专利、科研奖励、教学成果奖励等）应是署名本单位，且同一人员的同一成果不得在不同学术学位点或不同专业学位点重复统计或填写。引进人员在调入本学位点之前署名其他单位所获得的成果不填写、不统计。</w:t>
      </w:r>
    </w:p>
    <w:p>
      <w:pPr>
        <w:ind w:firstLine="619"/>
        <w:rPr>
          <w:spacing w:val="2"/>
        </w:rPr>
      </w:pPr>
      <w:r>
        <w:rPr>
          <w:rFonts w:hint="eastAsia"/>
        </w:rPr>
        <w:t>五</w:t>
      </w:r>
      <w:r>
        <w:t>、</w:t>
      </w:r>
      <w:r>
        <w:rPr>
          <w:spacing w:val="2"/>
        </w:rPr>
        <w:t>涉及国家机密的内容一律按国家有关保密规定进行脱密处理后编写。</w:t>
      </w:r>
    </w:p>
    <w:p>
      <w:pPr>
        <w:ind w:firstLine="628"/>
        <w:rPr>
          <w:spacing w:val="2"/>
        </w:rPr>
      </w:pPr>
      <w:r>
        <w:rPr>
          <w:rFonts w:hint="eastAsia"/>
          <w:spacing w:val="2"/>
        </w:rPr>
        <w:t>六</w:t>
      </w:r>
      <w:r>
        <w:rPr>
          <w:spacing w:val="2"/>
        </w:rPr>
        <w:t>、本报告文字使用四号宋体，字数不超过</w:t>
      </w:r>
      <w:r>
        <w:rPr>
          <w:rFonts w:hint="eastAsia"/>
          <w:spacing w:val="2"/>
        </w:rPr>
        <w:t>15</w:t>
      </w:r>
      <w:r>
        <w:rPr>
          <w:spacing w:val="2"/>
        </w:rPr>
        <w:t>000字，纸张限用A4。</w:t>
      </w:r>
    </w:p>
    <w:p>
      <w:pPr>
        <w:ind w:firstLine="710"/>
        <w:rPr>
          <w:b/>
          <w:bCs/>
          <w:sz w:val="32"/>
          <w:szCs w:val="32"/>
        </w:rPr>
        <w:sectPr>
          <w:headerReference r:id="rId13" w:type="first"/>
          <w:footerReference r:id="rId16" w:type="first"/>
          <w:headerReference r:id="rId11" w:type="default"/>
          <w:footerReference r:id="rId14" w:type="default"/>
          <w:headerReference r:id="rId12" w:type="even"/>
          <w:footerReference r:id="rId15" w:type="even"/>
          <w:pgSz w:w="11906" w:h="16838"/>
          <w:pgMar w:top="1440" w:right="1800" w:bottom="1440" w:left="1800" w:header="851" w:footer="992" w:gutter="0"/>
          <w:pgNumType w:start="1"/>
          <w:cols w:space="425" w:num="1"/>
          <w:docGrid w:type="lines" w:linePitch="312" w:charSpace="0"/>
        </w:sectPr>
      </w:pPr>
    </w:p>
    <w:p>
      <w:pPr>
        <w:ind w:firstLine="0" w:firstLineChars="0"/>
        <w:rPr>
          <w:rFonts w:cs="宋体"/>
          <w:b/>
          <w:bCs/>
          <w:sz w:val="32"/>
          <w:szCs w:val="32"/>
        </w:rPr>
      </w:pPr>
    </w:p>
    <w:p>
      <w:pPr>
        <w:numPr>
          <w:ilvl w:val="0"/>
          <w:numId w:val="1"/>
        </w:numPr>
        <w:ind w:firstLine="710"/>
        <w:rPr>
          <w:rFonts w:cs="宋体"/>
          <w:b/>
          <w:bCs/>
          <w:sz w:val="32"/>
          <w:szCs w:val="32"/>
        </w:rPr>
      </w:pPr>
      <w:r>
        <w:rPr>
          <w:rFonts w:hint="eastAsia" w:cs="宋体"/>
          <w:b/>
          <w:bCs/>
          <w:sz w:val="32"/>
          <w:szCs w:val="32"/>
        </w:rPr>
        <w:t>学位授权点基本情况</w:t>
      </w:r>
    </w:p>
    <w:p>
      <w:pPr>
        <w:ind w:firstLine="619"/>
        <w:rPr>
          <w:szCs w:val="28"/>
        </w:rPr>
      </w:pPr>
      <w:r>
        <w:rPr>
          <w:szCs w:val="28"/>
        </w:rPr>
        <w:t>江西农业大学生态学学科于2000年获得硕士学位授予权，2002年开始招收生态学专业硕士研究生，2011年（在作物学一级学科下）设立农业生态学二级学科博士学位授权点，2013年农业生态学二级学科正式开始招收博士研究生。2016年，</w:t>
      </w:r>
      <w:r>
        <w:rPr>
          <w:rFonts w:hint="eastAsia"/>
          <w:szCs w:val="28"/>
        </w:rPr>
        <w:t>牵头成立了</w:t>
      </w:r>
      <w:r>
        <w:rPr>
          <w:szCs w:val="28"/>
        </w:rPr>
        <w:t>江西省高校生态学学科联盟</w:t>
      </w:r>
      <w:r>
        <w:rPr>
          <w:rFonts w:hint="eastAsia"/>
          <w:szCs w:val="28"/>
        </w:rPr>
        <w:t>，每年均定期组织江西省高校生态学联盟学术论坛和生态经济学会，“以文会友”，促进生态学学科发展</w:t>
      </w:r>
      <w:r>
        <w:rPr>
          <w:szCs w:val="28"/>
        </w:rPr>
        <w:t>。2018年，学科通过由赵其国院士等组成的专家组的合格评估。</w:t>
      </w:r>
      <w:r>
        <w:rPr>
          <w:rFonts w:hint="eastAsia"/>
          <w:szCs w:val="28"/>
        </w:rPr>
        <w:t>“</w:t>
      </w:r>
      <w:r>
        <w:rPr>
          <w:szCs w:val="28"/>
        </w:rPr>
        <w:t>十三五</w:t>
      </w:r>
      <w:r>
        <w:rPr>
          <w:rFonts w:hint="eastAsia"/>
          <w:szCs w:val="28"/>
        </w:rPr>
        <w:t>”期间</w:t>
      </w:r>
      <w:r>
        <w:rPr>
          <w:szCs w:val="28"/>
        </w:rPr>
        <w:t>，生态学学科共承担了国家重点研发计划课题、国家自然科学基金项目等20余项，总经费2000多万元。发表学术论文300余篇，其中SCI论文近百篇；江西省科技进步奖三等奖1项。</w:t>
      </w:r>
    </w:p>
    <w:p>
      <w:pPr>
        <w:ind w:firstLine="619"/>
        <w:rPr>
          <w:szCs w:val="28"/>
        </w:rPr>
      </w:pPr>
      <w:r>
        <w:rPr>
          <w:rFonts w:hint="eastAsia"/>
          <w:szCs w:val="28"/>
        </w:rPr>
        <w:t>“十四五”以来，学科成员锐意进取，不断发展。2</w:t>
      </w:r>
      <w:r>
        <w:rPr>
          <w:szCs w:val="28"/>
        </w:rPr>
        <w:t>020</w:t>
      </w:r>
      <w:r>
        <w:rPr>
          <w:rFonts w:hint="eastAsia"/>
          <w:szCs w:val="28"/>
        </w:rPr>
        <w:t>年学科获批江西省自然科学基金重点项目和青年项目各1项，张志勇教授团队</w:t>
      </w:r>
      <w:r>
        <w:rPr>
          <w:szCs w:val="28"/>
        </w:rPr>
        <w:t>获江西省自然科学奖一等奖</w:t>
      </w:r>
      <w:r>
        <w:rPr>
          <w:rFonts w:hint="eastAsia"/>
          <w:szCs w:val="28"/>
        </w:rPr>
        <w:t>，黄国勤教授获广西科技进步二等奖1项。2</w:t>
      </w:r>
      <w:r>
        <w:rPr>
          <w:szCs w:val="28"/>
        </w:rPr>
        <w:t>021</w:t>
      </w:r>
      <w:r>
        <w:rPr>
          <w:rFonts w:hint="eastAsia"/>
          <w:szCs w:val="28"/>
        </w:rPr>
        <w:t>年获批国家自然科学基金项目3项，江西省自然科学基金1项。2</w:t>
      </w:r>
      <w:r>
        <w:rPr>
          <w:szCs w:val="28"/>
        </w:rPr>
        <w:t>02</w:t>
      </w:r>
      <w:r>
        <w:rPr>
          <w:rFonts w:hint="eastAsia"/>
          <w:szCs w:val="28"/>
        </w:rPr>
        <w:t>2年获批国家自然科学基金项目3项，江西省自然科学基金1项。</w:t>
      </w:r>
    </w:p>
    <w:p>
      <w:pPr>
        <w:pStyle w:val="2"/>
        <w:ind w:firstLine="560"/>
        <w:rPr>
          <w:rFonts w:hint="eastAsia" w:ascii="Times New Roman" w:hAnsi="Times New Roman" w:eastAsia="宋体"/>
          <w:color w:val="auto"/>
          <w:szCs w:val="28"/>
        </w:rPr>
      </w:pPr>
      <w:r>
        <w:rPr>
          <w:rFonts w:hint="eastAsia" w:ascii="Times New Roman" w:hAnsi="Times New Roman" w:eastAsia="宋体"/>
          <w:color w:val="auto"/>
          <w:szCs w:val="28"/>
        </w:rPr>
        <w:t>在研究生培养方面，</w:t>
      </w:r>
      <w:r>
        <w:rPr>
          <w:rFonts w:ascii="Times New Roman" w:hAnsi="Times New Roman" w:eastAsia="宋体"/>
          <w:color w:val="auto"/>
          <w:szCs w:val="28"/>
        </w:rPr>
        <w:t>秉持“以学生为中心”的教育理念</w:t>
      </w:r>
      <w:r>
        <w:rPr>
          <w:rFonts w:hint="eastAsia" w:ascii="Times New Roman" w:hAnsi="Times New Roman" w:eastAsia="宋体"/>
          <w:color w:val="auto"/>
          <w:szCs w:val="28"/>
        </w:rPr>
        <w:t>，提高研究生科研素质和</w:t>
      </w:r>
      <w:r>
        <w:rPr>
          <w:rFonts w:ascii="Times New Roman" w:hAnsi="Times New Roman" w:eastAsia="宋体"/>
          <w:color w:val="auto"/>
          <w:szCs w:val="28"/>
        </w:rPr>
        <w:t>创新</w:t>
      </w:r>
      <w:r>
        <w:rPr>
          <w:rFonts w:hint="eastAsia" w:ascii="Times New Roman" w:hAnsi="Times New Roman" w:eastAsia="宋体"/>
          <w:color w:val="auto"/>
          <w:szCs w:val="28"/>
        </w:rPr>
        <w:t>能力</w:t>
      </w:r>
      <w:r>
        <w:rPr>
          <w:rFonts w:ascii="Times New Roman" w:hAnsi="Times New Roman" w:eastAsia="宋体"/>
          <w:color w:val="auto"/>
          <w:szCs w:val="28"/>
        </w:rPr>
        <w:t>。</w:t>
      </w:r>
      <w:r>
        <w:rPr>
          <w:rFonts w:hint="eastAsia" w:ascii="Times New Roman" w:hAnsi="Times New Roman" w:eastAsia="宋体"/>
          <w:color w:val="auto"/>
          <w:szCs w:val="28"/>
        </w:rPr>
        <w:t>通过</w:t>
      </w:r>
      <w:r>
        <w:rPr>
          <w:rFonts w:ascii="Times New Roman" w:hAnsi="Times New Roman" w:eastAsia="宋体"/>
          <w:color w:val="auto"/>
          <w:szCs w:val="28"/>
        </w:rPr>
        <w:t>深化教学改革，</w:t>
      </w:r>
      <w:r>
        <w:rPr>
          <w:rFonts w:hint="eastAsia" w:ascii="Times New Roman" w:hAnsi="Times New Roman" w:eastAsia="宋体"/>
          <w:color w:val="auto"/>
          <w:szCs w:val="28"/>
        </w:rPr>
        <w:t>优化课程建设，</w:t>
      </w:r>
      <w:r>
        <w:rPr>
          <w:rFonts w:ascii="Times New Roman" w:hAnsi="Times New Roman" w:eastAsia="宋体"/>
          <w:color w:val="auto"/>
          <w:szCs w:val="28"/>
        </w:rPr>
        <w:t>推进科教融合培养</w:t>
      </w:r>
      <w:r>
        <w:rPr>
          <w:rFonts w:hint="eastAsia" w:ascii="Times New Roman" w:hAnsi="Times New Roman" w:eastAsia="宋体"/>
          <w:color w:val="auto"/>
          <w:szCs w:val="28"/>
        </w:rPr>
        <w:t>。通过加强指导，尽早让研究生参与科学研究，培养文献阅读和科学写作技能，鼓励研究生参加国内外学术交流，</w:t>
      </w:r>
      <w:r>
        <w:rPr>
          <w:rFonts w:ascii="Times New Roman" w:hAnsi="Times New Roman" w:eastAsia="宋体"/>
          <w:color w:val="auto"/>
          <w:szCs w:val="28"/>
        </w:rPr>
        <w:t>着力增强</w:t>
      </w:r>
      <w:r>
        <w:rPr>
          <w:rFonts w:hint="eastAsia" w:ascii="Times New Roman" w:hAnsi="Times New Roman" w:eastAsia="宋体"/>
          <w:color w:val="auto"/>
          <w:szCs w:val="28"/>
        </w:rPr>
        <w:t>研究</w:t>
      </w:r>
      <w:r>
        <w:rPr>
          <w:rFonts w:ascii="Times New Roman" w:hAnsi="Times New Roman" w:eastAsia="宋体"/>
          <w:color w:val="auto"/>
          <w:szCs w:val="28"/>
        </w:rPr>
        <w:t>生的创新意识、创新精神和创新能力</w:t>
      </w:r>
      <w:r>
        <w:rPr>
          <w:rFonts w:hint="eastAsia" w:ascii="Times New Roman" w:hAnsi="Times New Roman" w:eastAsia="宋体"/>
          <w:color w:val="auto"/>
          <w:szCs w:val="28"/>
        </w:rPr>
        <w:t>。2</w:t>
      </w:r>
      <w:r>
        <w:rPr>
          <w:rFonts w:ascii="Times New Roman" w:hAnsi="Times New Roman" w:eastAsia="宋体"/>
          <w:color w:val="auto"/>
          <w:szCs w:val="28"/>
        </w:rPr>
        <w:t>02</w:t>
      </w:r>
      <w:r>
        <w:rPr>
          <w:rFonts w:hint="eastAsia" w:ascii="Times New Roman" w:hAnsi="Times New Roman" w:eastAsia="宋体"/>
          <w:color w:val="auto"/>
          <w:szCs w:val="28"/>
        </w:rPr>
        <w:t>2年学科共有5名硕士研究生毕业，整体就业率1</w:t>
      </w:r>
      <w:r>
        <w:rPr>
          <w:rFonts w:ascii="Times New Roman" w:hAnsi="Times New Roman" w:eastAsia="宋体"/>
          <w:color w:val="auto"/>
          <w:szCs w:val="28"/>
        </w:rPr>
        <w:t>00%</w:t>
      </w:r>
      <w:r>
        <w:rPr>
          <w:rFonts w:hint="eastAsia" w:ascii="Times New Roman" w:hAnsi="Times New Roman" w:eastAsia="宋体"/>
          <w:color w:val="auto"/>
          <w:szCs w:val="28"/>
        </w:rPr>
        <w:t>。</w:t>
      </w:r>
      <w:r>
        <w:rPr>
          <w:rFonts w:ascii="Times New Roman" w:hAnsi="Times New Roman" w:eastAsia="宋体"/>
          <w:color w:val="auto"/>
          <w:szCs w:val="28"/>
        </w:rPr>
        <w:t>202</w:t>
      </w:r>
      <w:r>
        <w:rPr>
          <w:rFonts w:hint="eastAsia" w:ascii="Times New Roman" w:hAnsi="Times New Roman" w:eastAsia="宋体"/>
          <w:color w:val="auto"/>
          <w:szCs w:val="28"/>
        </w:rPr>
        <w:t>2年新招收博士研究生2名（农业生态学），硕士研究生6名。</w:t>
      </w:r>
    </w:p>
    <w:p>
      <w:pPr>
        <w:ind w:firstLine="619"/>
      </w:pPr>
    </w:p>
    <w:p>
      <w:pPr>
        <w:pStyle w:val="2"/>
        <w:spacing w:line="560" w:lineRule="exact"/>
        <w:ind w:firstLine="562"/>
        <w:rPr>
          <w:rFonts w:ascii="Times New Roman" w:hAnsi="Times New Roman" w:eastAsia="宋体" w:cs="宋体"/>
          <w:b/>
          <w:bCs/>
          <w:szCs w:val="28"/>
        </w:rPr>
      </w:pPr>
      <w:r>
        <w:rPr>
          <w:rFonts w:hint="eastAsia" w:ascii="Times New Roman" w:hAnsi="Times New Roman" w:eastAsia="宋体" w:cs="宋体"/>
          <w:b/>
          <w:bCs/>
          <w:szCs w:val="28"/>
        </w:rPr>
        <w:t>（一）培养目标与标准</w:t>
      </w:r>
    </w:p>
    <w:p>
      <w:pPr>
        <w:ind w:firstLine="562" w:firstLineChars="200"/>
        <w:rPr>
          <w:rFonts w:cs="宋体"/>
          <w:b/>
          <w:bCs/>
          <w:szCs w:val="28"/>
        </w:rPr>
      </w:pPr>
      <w:r>
        <w:rPr>
          <w:rFonts w:hint="eastAsia" w:cs="宋体"/>
          <w:b/>
          <w:bCs/>
          <w:szCs w:val="28"/>
        </w:rPr>
        <w:t>1.培养目标</w:t>
      </w:r>
    </w:p>
    <w:p>
      <w:pPr>
        <w:ind w:firstLine="619"/>
        <w:rPr>
          <w:szCs w:val="28"/>
        </w:rPr>
      </w:pPr>
      <w:r>
        <w:rPr>
          <w:szCs w:val="28"/>
        </w:rPr>
        <w:t>本学科立足于江西生态，为区域乃至全国生态行业、科研院所、教学单位等培养高科技人才。主要培养面向现代化、面向未来，具有现代生态学专业理论基础，在国民经济建设、科学技术发展和社会进步发挥作用，德、智、体</w:t>
      </w:r>
      <w:r>
        <w:rPr>
          <w:rFonts w:hint="eastAsia"/>
          <w:szCs w:val="28"/>
        </w:rPr>
        <w:t>、美、劳</w:t>
      </w:r>
      <w:r>
        <w:rPr>
          <w:szCs w:val="28"/>
        </w:rPr>
        <w:t>等全面发展，既有理论水平又有生态实践的高层次生态科学专门人才。了解生态学的理论与技术，掌握生态学的理论基础和专业知识，具有生态学专业素养和解决问题的能力，具备独立从事本学科教学、科研和技术研发及咨询与管理工作的能力，并进行一定创新性的研究。</w:t>
      </w:r>
    </w:p>
    <w:p>
      <w:pPr>
        <w:pStyle w:val="2"/>
        <w:spacing w:line="560" w:lineRule="exact"/>
        <w:ind w:firstLine="562"/>
        <w:rPr>
          <w:rFonts w:ascii="Times New Roman" w:hAnsi="Times New Roman" w:eastAsia="宋体" w:cs="宋体"/>
          <w:b/>
          <w:bCs/>
          <w:szCs w:val="28"/>
        </w:rPr>
      </w:pPr>
      <w:r>
        <w:rPr>
          <w:rFonts w:hint="eastAsia" w:ascii="Times New Roman" w:hAnsi="Times New Roman" w:eastAsia="宋体" w:cs="宋体"/>
          <w:b/>
          <w:bCs/>
          <w:szCs w:val="28"/>
        </w:rPr>
        <w:t>2.学位标准</w:t>
      </w:r>
    </w:p>
    <w:p>
      <w:pPr>
        <w:ind w:firstLine="619"/>
        <w:rPr>
          <w:szCs w:val="28"/>
        </w:rPr>
      </w:pPr>
      <w:r>
        <w:rPr>
          <w:szCs w:val="28"/>
        </w:rPr>
        <w:t>硕士学位论文内容应以硕士生本人从事的试验、观测和调查的数据和相关结论为主。论文撰写必须在较为扎实的专业理论基础之上进行，要运用科学理论、方法和技术对所研究课题进行分析、研究并提出解决策略或方法，体现出一定的科学研究能力和理论水平。硕士学位论文应反映作者在本学科掌握的基础理论和专门知识，所撰写论文应广泛并有针对性地吸收国内相关研究成果，体现一定的学术价值或重要的应用价值。本学科合格的硕士学位论文</w:t>
      </w:r>
      <w:r>
        <w:rPr>
          <w:rFonts w:hint="eastAsia"/>
          <w:szCs w:val="28"/>
        </w:rPr>
        <w:t>其主体需是自己的主要研究结果，不能仅是没有研究论证成分的报告类文字；研究内容要有一定的理论或较重要的实用价值，对学科某一方向的发展有一定的促进作用；论文格式应该符合科学论著及本学科的基本要求。</w:t>
      </w:r>
    </w:p>
    <w:p>
      <w:pPr>
        <w:ind w:firstLine="619"/>
        <w:rPr>
          <w:szCs w:val="28"/>
        </w:rPr>
      </w:pPr>
      <w:r>
        <w:rPr>
          <w:rFonts w:hint="eastAsia"/>
          <w:szCs w:val="28"/>
        </w:rPr>
        <w:t>研究生在获得硕士学位时必须要完成以下学习任务或要求：</w:t>
      </w:r>
      <w:r>
        <w:rPr>
          <w:szCs w:val="28"/>
        </w:rPr>
        <w:t>（1）硕士研究生在攻读学位期间，所修学分的总和应在28-30学分之间，其中学位课为14-15学分，非学位课程11-12学分，Seminar</w:t>
      </w:r>
      <w:r>
        <w:rPr>
          <w:rFonts w:hint="eastAsia"/>
          <w:szCs w:val="28"/>
        </w:rPr>
        <w:t>、</w:t>
      </w:r>
      <w:r>
        <w:rPr>
          <w:szCs w:val="28"/>
        </w:rPr>
        <w:t>专业英语写作和听学术讲座必修环节各1学分。以16学时为1学分。（2）课程设置学位课和非学位课两个部分。学位课程6门，其中公共学位课2门，分别为科学社会主义理论与实践、英语；基础课和专业课4门，分别为现代生态学概论、农业可持续发展导论、高级农业生态学、生态学研究进展。非学位课21门，其中必修课8门，选修课11门，实践性课程2门。选修课程由研究生根据自身情况自选，但要在个人的培养计划书中明确体现。（3）科研素质环节主要考核项目为学术活动、专题研讨、论文选题三个方面。（4）创新能力主要考核项目为学术论文发表、科研实践、独立研究与自主创业及其它各类创新活动等。（5）硕士生在完成上述培养计划的各项要求后，学位论文要经过选题、中期考核、预答辩、专家盲审、修改、答辩等环节，依次通过后授予硕士学位。</w:t>
      </w:r>
    </w:p>
    <w:p>
      <w:pPr>
        <w:pStyle w:val="2"/>
        <w:ind w:firstLine="560"/>
      </w:pPr>
    </w:p>
    <w:p>
      <w:pPr>
        <w:ind w:firstLine="621"/>
        <w:rPr>
          <w:rFonts w:cs="宋体"/>
          <w:b/>
          <w:bCs/>
          <w:szCs w:val="28"/>
        </w:rPr>
      </w:pPr>
      <w:r>
        <w:rPr>
          <w:rFonts w:hint="eastAsia" w:cs="宋体"/>
          <w:b/>
          <w:bCs/>
          <w:szCs w:val="28"/>
        </w:rPr>
        <w:t>（二）基本条件建设情况</w:t>
      </w:r>
    </w:p>
    <w:p>
      <w:pPr>
        <w:ind w:firstLine="621"/>
        <w:rPr>
          <w:rFonts w:cs="宋体"/>
          <w:b/>
          <w:bCs/>
          <w:szCs w:val="28"/>
        </w:rPr>
      </w:pPr>
      <w:r>
        <w:rPr>
          <w:rFonts w:hint="eastAsia" w:cs="宋体"/>
          <w:b/>
          <w:bCs/>
          <w:szCs w:val="28"/>
        </w:rPr>
        <w:t>1.培养方向</w:t>
      </w:r>
    </w:p>
    <w:p>
      <w:pPr>
        <w:pStyle w:val="12"/>
        <w:snapToGrid w:val="0"/>
        <w:ind w:left="200" w:firstLine="439" w:firstLineChars="157"/>
        <w:rPr>
          <w:rFonts w:cs="宋体"/>
          <w:color w:val="000000"/>
          <w:szCs w:val="28"/>
        </w:rPr>
      </w:pPr>
      <w:r>
        <w:rPr>
          <w:rFonts w:hint="eastAsia" w:cs="宋体"/>
          <w:color w:val="000000"/>
          <w:szCs w:val="28"/>
        </w:rPr>
        <w:t>学位点主要通过高级农业生态学、种群与群落生态学、生态系统生态学、植物分类学、植物保护生物学、进化生物学等相关课程的学习,掌握扎实的生态学相关的基本理论、系统的专业知识和技能以及相关的生态经济理论等,并具有较强的外语、数学和计算机应用能力,在生态学各领域的思维能力与科学研究、实验技能与胜任务实岗位等方面,受到规范化训练。该学位点依据自身特色设置了以下三个培养方向：</w:t>
      </w:r>
    </w:p>
    <w:p>
      <w:pPr>
        <w:ind w:firstLine="619"/>
        <w:rPr>
          <w:rFonts w:cs="宋体"/>
          <w:color w:val="000000"/>
          <w:szCs w:val="28"/>
        </w:rPr>
      </w:pPr>
      <w:r>
        <w:rPr>
          <w:rFonts w:cs="宋体"/>
          <w:color w:val="000000"/>
          <w:szCs w:val="28"/>
        </w:rPr>
        <w:t>（1）可持续</w:t>
      </w:r>
      <w:r>
        <w:rPr>
          <w:rFonts w:hint="eastAsia" w:cs="宋体"/>
          <w:color w:val="000000"/>
          <w:szCs w:val="28"/>
        </w:rPr>
        <w:t>农业</w:t>
      </w:r>
      <w:r>
        <w:rPr>
          <w:rFonts w:cs="宋体"/>
          <w:color w:val="000000"/>
          <w:szCs w:val="28"/>
        </w:rPr>
        <w:t>生态学：</w:t>
      </w:r>
      <w:r>
        <w:rPr>
          <w:rFonts w:hint="eastAsia" w:cs="宋体"/>
          <w:color w:val="000000"/>
          <w:szCs w:val="28"/>
        </w:rPr>
        <w:t>已</w:t>
      </w:r>
      <w:r>
        <w:rPr>
          <w:rFonts w:cs="宋体"/>
          <w:color w:val="000000"/>
          <w:szCs w:val="28"/>
        </w:rPr>
        <w:t>形成</w:t>
      </w:r>
      <w:r>
        <w:rPr>
          <w:rFonts w:hint="eastAsia" w:cs="宋体"/>
          <w:color w:val="000000"/>
          <w:szCs w:val="28"/>
        </w:rPr>
        <w:t>包括</w:t>
      </w:r>
      <w:r>
        <w:rPr>
          <w:rFonts w:cs="宋体"/>
          <w:color w:val="000000"/>
          <w:szCs w:val="28"/>
        </w:rPr>
        <w:t>农业生态系统可持续发展、农业可持续发展理论与模式、湖泊生态系统可持续发展、生态环境保护与生态文明建设等四个独具特色的发展方向。</w:t>
      </w:r>
    </w:p>
    <w:p>
      <w:pPr>
        <w:ind w:firstLine="619"/>
        <w:rPr>
          <w:rFonts w:cs="宋体"/>
          <w:color w:val="000000"/>
          <w:szCs w:val="28"/>
        </w:rPr>
      </w:pPr>
      <w:r>
        <w:rPr>
          <w:rFonts w:cs="宋体"/>
          <w:color w:val="000000"/>
          <w:szCs w:val="28"/>
        </w:rPr>
        <w:t>（2）植物生态学</w:t>
      </w:r>
      <w:r>
        <w:rPr>
          <w:rFonts w:hint="eastAsia" w:cs="宋体"/>
          <w:color w:val="000000"/>
          <w:szCs w:val="28"/>
        </w:rPr>
        <w:t>：</w:t>
      </w:r>
      <w:r>
        <w:rPr>
          <w:rFonts w:cs="宋体"/>
          <w:color w:val="000000"/>
          <w:szCs w:val="28"/>
        </w:rPr>
        <w:t>主要瞄准第四纪气候变化条件下中国亚热带森林植被及其组成植物的分布区变迁历史，为当今全球气候变暖背景下中国亚热带森林植被的保护提供理论基础。</w:t>
      </w:r>
    </w:p>
    <w:p>
      <w:pPr>
        <w:ind w:firstLine="619"/>
        <w:rPr>
          <w:szCs w:val="28"/>
        </w:rPr>
      </w:pPr>
      <w:r>
        <w:rPr>
          <w:rFonts w:cs="宋体"/>
          <w:color w:val="000000"/>
          <w:szCs w:val="28"/>
        </w:rPr>
        <w:t>（3）生态系统生态学</w:t>
      </w:r>
      <w:r>
        <w:rPr>
          <w:rFonts w:hint="eastAsia" w:cs="宋体"/>
          <w:color w:val="000000"/>
          <w:szCs w:val="28"/>
        </w:rPr>
        <w:t>：</w:t>
      </w:r>
      <w:r>
        <w:rPr>
          <w:rFonts w:cs="宋体"/>
          <w:color w:val="000000"/>
          <w:szCs w:val="28"/>
        </w:rPr>
        <w:t>深入研究了双季稻田生态系统和红壤旱地生态系统高产高效的生态学机制，提出了稻田节能减排</w:t>
      </w:r>
      <w:r>
        <w:rPr>
          <w:rFonts w:hint="eastAsia" w:cs="宋体"/>
          <w:color w:val="000000"/>
          <w:szCs w:val="28"/>
        </w:rPr>
        <w:t>绿色发展、</w:t>
      </w:r>
      <w:r>
        <w:rPr>
          <w:rFonts w:cs="宋体"/>
          <w:color w:val="000000"/>
          <w:szCs w:val="28"/>
        </w:rPr>
        <w:t>红壤旱地</w:t>
      </w:r>
      <w:r>
        <w:rPr>
          <w:rFonts w:hint="eastAsia" w:cs="宋体"/>
          <w:color w:val="000000"/>
          <w:szCs w:val="28"/>
        </w:rPr>
        <w:t>高效</w:t>
      </w:r>
      <w:r>
        <w:rPr>
          <w:rFonts w:cs="宋体"/>
          <w:color w:val="000000"/>
          <w:szCs w:val="28"/>
        </w:rPr>
        <w:t>多熟种植</w:t>
      </w:r>
      <w:r>
        <w:rPr>
          <w:rFonts w:hint="eastAsia" w:cs="宋体"/>
          <w:color w:val="000000"/>
          <w:szCs w:val="28"/>
        </w:rPr>
        <w:t>和农田</w:t>
      </w:r>
      <w:r>
        <w:rPr>
          <w:rFonts w:cs="宋体"/>
          <w:color w:val="000000"/>
          <w:szCs w:val="28"/>
        </w:rPr>
        <w:t>冬季持续高效</w:t>
      </w:r>
      <w:r>
        <w:rPr>
          <w:rFonts w:hint="eastAsia" w:cs="宋体"/>
          <w:color w:val="000000"/>
          <w:szCs w:val="28"/>
        </w:rPr>
        <w:t>开发</w:t>
      </w:r>
      <w:r>
        <w:rPr>
          <w:rFonts w:cs="宋体"/>
          <w:color w:val="000000"/>
          <w:szCs w:val="28"/>
        </w:rPr>
        <w:t>利用</w:t>
      </w:r>
      <w:r>
        <w:rPr>
          <w:rFonts w:hint="eastAsia" w:cs="宋体"/>
          <w:color w:val="000000"/>
          <w:szCs w:val="28"/>
        </w:rPr>
        <w:t>的</w:t>
      </w:r>
      <w:r>
        <w:rPr>
          <w:rFonts w:cs="宋体"/>
          <w:color w:val="000000"/>
          <w:szCs w:val="28"/>
        </w:rPr>
        <w:t>新模式</w:t>
      </w:r>
      <w:r>
        <w:rPr>
          <w:rFonts w:hint="eastAsia" w:cs="宋体"/>
          <w:color w:val="000000"/>
          <w:szCs w:val="28"/>
        </w:rPr>
        <w:t>、新技术。</w:t>
      </w:r>
    </w:p>
    <w:p>
      <w:pPr>
        <w:ind w:firstLine="621"/>
        <w:rPr>
          <w:rFonts w:cs="宋体"/>
          <w:b/>
          <w:bCs/>
          <w:szCs w:val="28"/>
        </w:rPr>
      </w:pPr>
      <w:r>
        <w:rPr>
          <w:rFonts w:hint="eastAsia" w:cs="宋体"/>
          <w:b/>
          <w:bCs/>
          <w:szCs w:val="28"/>
        </w:rPr>
        <w:t>2.师资队伍</w:t>
      </w:r>
    </w:p>
    <w:p>
      <w:pPr>
        <w:ind w:firstLine="619"/>
      </w:pPr>
      <w:r>
        <w:rPr>
          <w:rFonts w:hint="eastAsia"/>
          <w:szCs w:val="28"/>
        </w:rPr>
        <w:t>本学位点现有专任教师</w:t>
      </w:r>
      <w:r>
        <w:rPr>
          <w:szCs w:val="28"/>
        </w:rPr>
        <w:t>17</w:t>
      </w:r>
      <w:r>
        <w:rPr>
          <w:rFonts w:hint="eastAsia"/>
          <w:szCs w:val="28"/>
        </w:rPr>
        <w:t>名，其中硕士生导师</w:t>
      </w:r>
      <w:r>
        <w:rPr>
          <w:szCs w:val="28"/>
        </w:rPr>
        <w:t>7</w:t>
      </w:r>
      <w:r>
        <w:rPr>
          <w:rFonts w:hint="eastAsia"/>
          <w:szCs w:val="28"/>
        </w:rPr>
        <w:t>名，另有3名校外兼职导师。其中，</w:t>
      </w:r>
      <w:r>
        <w:rPr>
          <w:szCs w:val="28"/>
        </w:rPr>
        <w:t>江西经济管理干部学院潘晓华教授</w:t>
      </w:r>
      <w:r>
        <w:rPr>
          <w:rFonts w:hint="eastAsia"/>
          <w:szCs w:val="28"/>
        </w:rPr>
        <w:t>、宜春学院</w:t>
      </w:r>
      <w:r>
        <w:rPr>
          <w:szCs w:val="28"/>
        </w:rPr>
        <w:t>曾晓春教授</w:t>
      </w:r>
      <w:r>
        <w:rPr>
          <w:rFonts w:hint="eastAsia"/>
          <w:szCs w:val="28"/>
        </w:rPr>
        <w:t>均</w:t>
      </w:r>
      <w:r>
        <w:rPr>
          <w:szCs w:val="28"/>
        </w:rPr>
        <w:t>为作物生态学方向的兼职导师；</w:t>
      </w:r>
      <w:r>
        <w:rPr>
          <w:rFonts w:hint="eastAsia"/>
          <w:szCs w:val="28"/>
        </w:rPr>
        <w:t>江西农业大学黄国勤教授、王淑彬副教授、杨文亭副研究员为农业生态学方向专职导师；</w:t>
      </w:r>
      <w:r>
        <w:rPr>
          <w:szCs w:val="28"/>
        </w:rPr>
        <w:t>江西农业大学张志勇教授、范邓妹教授</w:t>
      </w:r>
      <w:r>
        <w:rPr>
          <w:rFonts w:hint="eastAsia"/>
          <w:szCs w:val="28"/>
        </w:rPr>
        <w:t>、寇一翾副教授</w:t>
      </w:r>
      <w:r>
        <w:rPr>
          <w:szCs w:val="28"/>
        </w:rPr>
        <w:t>为森林生态学方向专职导师；江西农业大学</w:t>
      </w:r>
      <w:r>
        <w:rPr>
          <w:rFonts w:hint="eastAsia"/>
          <w:szCs w:val="28"/>
        </w:rPr>
        <w:t>李德荣教授、</w:t>
      </w:r>
      <w:r>
        <w:rPr>
          <w:szCs w:val="28"/>
        </w:rPr>
        <w:t>李波副</w:t>
      </w:r>
      <w:r>
        <w:rPr>
          <w:rFonts w:hint="eastAsia"/>
          <w:szCs w:val="28"/>
        </w:rPr>
        <w:t>研究员</w:t>
      </w:r>
      <w:r>
        <w:rPr>
          <w:szCs w:val="28"/>
        </w:rPr>
        <w:t>为草地生态学方向专职导师。</w:t>
      </w:r>
      <w:r>
        <w:rPr>
          <w:rFonts w:hint="eastAsia"/>
          <w:szCs w:val="28"/>
        </w:rPr>
        <w:t>学科点正教授给本科生上课的人数比例为100%，正教授人均年平均给本科生上课门数1.2，正教授人均年平均给本科生上课课时数69.3。近年来，学科从中国科学院北京植物所、昆明植物所、亚热带农业生态研究所和中国农业大学共引进优秀博士4人，目前都获批主持国家自然科学基金项目1项，加强了学科师资力量，优化了学科年龄和学缘结构。近3年来学科学术骨干获评教授1人，副研究员2人，获聘青年教授1人，校副教授1人，还有1人获聘江西省青年井冈学者。</w:t>
      </w:r>
      <w:r>
        <w:rPr>
          <w:szCs w:val="28"/>
        </w:rPr>
        <w:t>张志勇教授团队科研成果还获得了2020年江西省自然科学奖一等奖。</w:t>
      </w:r>
      <w:r>
        <w:rPr>
          <w:rFonts w:hint="eastAsia"/>
          <w:szCs w:val="28"/>
        </w:rPr>
        <w:t>本学科专任教师人员规模及结构如下：</w:t>
      </w:r>
    </w:p>
    <w:tbl>
      <w:tblPr>
        <w:tblStyle w:val="6"/>
        <w:tblpPr w:leftFromText="180" w:rightFromText="180" w:vertAnchor="text" w:horzAnchor="page" w:tblpX="1862" w:tblpY="325"/>
        <w:tblOverlap w:val="never"/>
        <w:tblW w:w="5000" w:type="pct"/>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23" w:type="dxa"/>
          <w:bottom w:w="0" w:type="dxa"/>
          <w:right w:w="23" w:type="dxa"/>
        </w:tblCellMar>
      </w:tblPr>
      <w:tblGrid>
        <w:gridCol w:w="844"/>
        <w:gridCol w:w="702"/>
        <w:gridCol w:w="782"/>
        <w:gridCol w:w="394"/>
        <w:gridCol w:w="256"/>
        <w:gridCol w:w="690"/>
        <w:gridCol w:w="180"/>
        <w:gridCol w:w="526"/>
        <w:gridCol w:w="226"/>
        <w:gridCol w:w="374"/>
        <w:gridCol w:w="217"/>
        <w:gridCol w:w="867"/>
        <w:gridCol w:w="42"/>
        <w:gridCol w:w="580"/>
        <w:gridCol w:w="353"/>
        <w:gridCol w:w="190"/>
        <w:gridCol w:w="461"/>
        <w:gridCol w:w="668"/>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tcBorders>
              <w:top w:val="single" w:color="auto" w:sz="4" w:space="0"/>
              <w:left w:val="single" w:color="auto" w:sz="4" w:space="0"/>
              <w:bottom w:val="single" w:color="auto" w:sz="4" w:space="0"/>
              <w:right w:val="single" w:color="auto" w:sz="4" w:space="0"/>
            </w:tcBorders>
            <w:vAlign w:val="center"/>
          </w:tcPr>
          <w:p>
            <w:pPr>
              <w:widowControl w:val="0"/>
              <w:adjustRightInd w:val="0"/>
              <w:snapToGrid w:val="0"/>
              <w:spacing w:line="240" w:lineRule="auto"/>
              <w:ind w:firstLine="0" w:firstLineChars="0"/>
              <w:jc w:val="center"/>
              <w:rPr>
                <w:rFonts w:cs="Times New Roman"/>
                <w:sz w:val="24"/>
                <w:szCs w:val="24"/>
              </w:rPr>
            </w:pPr>
            <w:r>
              <w:rPr>
                <w:rFonts w:cs="Times New Roman"/>
                <w:sz w:val="24"/>
                <w:szCs w:val="24"/>
              </w:rPr>
              <w:t>专业技术职务</w:t>
            </w:r>
          </w:p>
        </w:tc>
        <w:tc>
          <w:tcPr>
            <w:tcW w:w="42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合计</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35岁</w:t>
            </w:r>
          </w:p>
          <w:p>
            <w:pPr>
              <w:widowControl w:val="0"/>
              <w:adjustRightInd w:val="0"/>
              <w:snapToGrid w:val="0"/>
              <w:spacing w:line="240" w:lineRule="auto"/>
              <w:ind w:firstLine="0" w:firstLineChars="0"/>
              <w:jc w:val="center"/>
              <w:rPr>
                <w:rFonts w:cs="Times New Roman"/>
                <w:kern w:val="0"/>
                <w:sz w:val="24"/>
                <w:szCs w:val="24"/>
              </w:rPr>
            </w:pPr>
            <w:r>
              <w:rPr>
                <w:rFonts w:cs="Times New Roman"/>
                <w:sz w:val="24"/>
                <w:szCs w:val="24"/>
              </w:rPr>
              <w:t>及以下</w:t>
            </w:r>
          </w:p>
        </w:tc>
        <w:tc>
          <w:tcPr>
            <w:tcW w:w="3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36至</w:t>
            </w:r>
          </w:p>
          <w:p>
            <w:pPr>
              <w:widowControl w:val="0"/>
              <w:adjustRightInd w:val="0"/>
              <w:snapToGrid w:val="0"/>
              <w:spacing w:line="240" w:lineRule="auto"/>
              <w:ind w:firstLine="0" w:firstLineChars="0"/>
              <w:jc w:val="center"/>
              <w:rPr>
                <w:rFonts w:cs="Times New Roman"/>
                <w:kern w:val="0"/>
                <w:sz w:val="24"/>
                <w:szCs w:val="24"/>
              </w:rPr>
            </w:pPr>
            <w:r>
              <w:rPr>
                <w:rFonts w:cs="Times New Roman"/>
                <w:sz w:val="24"/>
                <w:szCs w:val="24"/>
              </w:rPr>
              <w:t>45岁</w:t>
            </w:r>
          </w:p>
        </w:tc>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46至</w:t>
            </w:r>
          </w:p>
          <w:p>
            <w:pPr>
              <w:widowControl w:val="0"/>
              <w:adjustRightInd w:val="0"/>
              <w:snapToGrid w:val="0"/>
              <w:spacing w:line="240" w:lineRule="auto"/>
              <w:ind w:firstLine="0" w:firstLineChars="0"/>
              <w:jc w:val="center"/>
              <w:rPr>
                <w:rFonts w:cs="Times New Roman"/>
                <w:kern w:val="0"/>
                <w:sz w:val="24"/>
                <w:szCs w:val="24"/>
              </w:rPr>
            </w:pPr>
            <w:r>
              <w:rPr>
                <w:rFonts w:cs="Times New Roman"/>
                <w:sz w:val="24"/>
                <w:szCs w:val="24"/>
              </w:rPr>
              <w:t>55岁</w:t>
            </w:r>
          </w:p>
        </w:tc>
        <w:tc>
          <w:tcPr>
            <w:tcW w:w="4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56至</w:t>
            </w:r>
          </w:p>
          <w:p>
            <w:pPr>
              <w:widowControl w:val="0"/>
              <w:adjustRightInd w:val="0"/>
              <w:snapToGrid w:val="0"/>
              <w:spacing w:line="240" w:lineRule="auto"/>
              <w:ind w:firstLine="0" w:firstLineChars="0"/>
              <w:jc w:val="center"/>
              <w:rPr>
                <w:rFonts w:cs="Times New Roman"/>
                <w:kern w:val="0"/>
                <w:sz w:val="24"/>
                <w:szCs w:val="24"/>
              </w:rPr>
            </w:pPr>
            <w:r>
              <w:rPr>
                <w:rFonts w:cs="Times New Roman"/>
                <w:sz w:val="24"/>
                <w:szCs w:val="24"/>
              </w:rPr>
              <w:t>60岁</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61岁</w:t>
            </w:r>
          </w:p>
          <w:p>
            <w:pPr>
              <w:widowControl w:val="0"/>
              <w:adjustRightInd w:val="0"/>
              <w:snapToGrid w:val="0"/>
              <w:spacing w:line="240" w:lineRule="auto"/>
              <w:ind w:firstLine="0" w:firstLineChars="0"/>
              <w:jc w:val="center"/>
              <w:rPr>
                <w:rFonts w:cs="Times New Roman"/>
                <w:kern w:val="0"/>
                <w:sz w:val="24"/>
                <w:szCs w:val="24"/>
              </w:rPr>
            </w:pPr>
            <w:r>
              <w:rPr>
                <w:rFonts w:cs="Times New Roman"/>
                <w:sz w:val="24"/>
                <w:szCs w:val="24"/>
              </w:rPr>
              <w:t>及以上</w:t>
            </w:r>
          </w:p>
        </w:tc>
        <w:tc>
          <w:tcPr>
            <w:tcW w:w="519" w:type="pct"/>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博士学位人数</w:t>
            </w:r>
          </w:p>
        </w:tc>
        <w:tc>
          <w:tcPr>
            <w:tcW w:w="583"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具有境外经历人数</w:t>
            </w:r>
          </w:p>
        </w:tc>
        <w:tc>
          <w:tcPr>
            <w:tcW w:w="3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博导</w:t>
            </w:r>
          </w:p>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人数</w:t>
            </w:r>
          </w:p>
        </w:tc>
        <w:tc>
          <w:tcPr>
            <w:tcW w:w="3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硕导</w:t>
            </w:r>
          </w:p>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人数</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kern w:val="0"/>
                <w:sz w:val="24"/>
                <w:szCs w:val="24"/>
              </w:rPr>
              <w:t>正高</w:t>
            </w:r>
          </w:p>
        </w:tc>
        <w:tc>
          <w:tcPr>
            <w:tcW w:w="42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5</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3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1</w:t>
            </w:r>
          </w:p>
        </w:tc>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1</w:t>
            </w:r>
          </w:p>
        </w:tc>
        <w:tc>
          <w:tcPr>
            <w:tcW w:w="4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5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w:t>
            </w:r>
          </w:p>
        </w:tc>
        <w:tc>
          <w:tcPr>
            <w:tcW w:w="58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3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3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hint="eastAsia" w:cs="Times New Roman"/>
                <w:sz w:val="24"/>
                <w:szCs w:val="24"/>
              </w:rPr>
              <w:t>5</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kern w:val="0"/>
                <w:sz w:val="24"/>
                <w:szCs w:val="24"/>
              </w:rPr>
              <w:t>副高</w:t>
            </w:r>
          </w:p>
        </w:tc>
        <w:tc>
          <w:tcPr>
            <w:tcW w:w="42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4</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3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w:t>
            </w:r>
          </w:p>
        </w:tc>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1</w:t>
            </w:r>
          </w:p>
        </w:tc>
        <w:tc>
          <w:tcPr>
            <w:tcW w:w="4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5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4</w:t>
            </w:r>
          </w:p>
        </w:tc>
        <w:tc>
          <w:tcPr>
            <w:tcW w:w="58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3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3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kern w:val="0"/>
                <w:sz w:val="24"/>
                <w:szCs w:val="24"/>
              </w:rPr>
              <w:t>其他</w:t>
            </w:r>
          </w:p>
        </w:tc>
        <w:tc>
          <w:tcPr>
            <w:tcW w:w="42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6</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hint="eastAsia" w:cs="Times New Roman"/>
                <w:sz w:val="24"/>
                <w:szCs w:val="24"/>
              </w:rPr>
              <w:t>6</w:t>
            </w:r>
          </w:p>
        </w:tc>
        <w:tc>
          <w:tcPr>
            <w:tcW w:w="3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4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5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6</w:t>
            </w:r>
          </w:p>
        </w:tc>
        <w:tc>
          <w:tcPr>
            <w:tcW w:w="58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390"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39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kern w:val="0"/>
                <w:sz w:val="24"/>
                <w:szCs w:val="24"/>
              </w:rPr>
              <w:t>总计</w:t>
            </w:r>
          </w:p>
        </w:tc>
        <w:tc>
          <w:tcPr>
            <w:tcW w:w="420"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15</w:t>
            </w:r>
          </w:p>
        </w:tc>
        <w:tc>
          <w:tcPr>
            <w:tcW w:w="468"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6</w:t>
            </w:r>
          </w:p>
        </w:tc>
        <w:tc>
          <w:tcPr>
            <w:tcW w:w="389"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4</w:t>
            </w:r>
          </w:p>
        </w:tc>
        <w:tc>
          <w:tcPr>
            <w:tcW w:w="413"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423" w:type="pct"/>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3</w:t>
            </w:r>
          </w:p>
        </w:tc>
        <w:tc>
          <w:tcPr>
            <w:tcW w:w="489"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0</w:t>
            </w:r>
          </w:p>
        </w:tc>
        <w:tc>
          <w:tcPr>
            <w:tcW w:w="519"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13</w:t>
            </w:r>
          </w:p>
        </w:tc>
        <w:tc>
          <w:tcPr>
            <w:tcW w:w="583"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6</w:t>
            </w:r>
          </w:p>
        </w:tc>
        <w:tc>
          <w:tcPr>
            <w:tcW w:w="390" w:type="pct"/>
            <w:gridSpan w:val="2"/>
            <w:tcBorders>
              <w:top w:val="single" w:color="auto" w:sz="4" w:space="0"/>
              <w:left w:val="single" w:color="auto" w:sz="4" w:space="0"/>
              <w:bottom w:val="nil"/>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sz w:val="24"/>
                <w:szCs w:val="24"/>
              </w:rPr>
              <w:t>2</w:t>
            </w:r>
          </w:p>
        </w:tc>
        <w:tc>
          <w:tcPr>
            <w:tcW w:w="398" w:type="pct"/>
            <w:tcBorders>
              <w:top w:val="single" w:color="auto" w:sz="4" w:space="0"/>
              <w:left w:val="single" w:color="auto" w:sz="4" w:space="0"/>
              <w:bottom w:val="nil"/>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hint="eastAsia" w:cs="Times New Roman"/>
                <w:sz w:val="24"/>
                <w:szCs w:val="24"/>
              </w:rPr>
              <w:t>9</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学缘</w:t>
            </w:r>
          </w:p>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结构</w:t>
            </w:r>
          </w:p>
        </w:tc>
        <w:tc>
          <w:tcPr>
            <w:tcW w:w="112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w w:val="95"/>
                <w:sz w:val="24"/>
                <w:szCs w:val="24"/>
              </w:rPr>
            </w:pPr>
            <w:r>
              <w:rPr>
                <w:rFonts w:cs="Times New Roman"/>
                <w:sz w:val="24"/>
                <w:szCs w:val="24"/>
              </w:rPr>
              <w:t>最高学位获得单位</w:t>
            </w:r>
            <w:r>
              <w:rPr>
                <w:rFonts w:cs="Times New Roman"/>
                <w:w w:val="95"/>
                <w:sz w:val="24"/>
                <w:szCs w:val="24"/>
              </w:rPr>
              <w:t>(</w:t>
            </w:r>
            <w:r>
              <w:rPr>
                <w:rFonts w:cs="Times New Roman"/>
                <w:sz w:val="24"/>
                <w:szCs w:val="24"/>
              </w:rPr>
              <w:t>最多的5所</w:t>
            </w:r>
            <w:r>
              <w:rPr>
                <w:rFonts w:cs="Times New Roman"/>
                <w:w w:val="95"/>
                <w:sz w:val="24"/>
                <w:szCs w:val="24"/>
              </w:rPr>
              <w:t>)</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江西农业大学</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南京农业大学</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中国科学院大学</w:t>
            </w:r>
          </w:p>
        </w:tc>
        <w:tc>
          <w:tcPr>
            <w:tcW w:w="672"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复旦大学</w:t>
            </w:r>
          </w:p>
        </w:tc>
        <w:tc>
          <w:tcPr>
            <w:tcW w:w="675"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西南大学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p>
        </w:tc>
        <w:tc>
          <w:tcPr>
            <w:tcW w:w="112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sz w:val="24"/>
                <w:szCs w:val="24"/>
              </w:rPr>
            </w:pPr>
            <w:r>
              <w:rPr>
                <w:rFonts w:cs="Times New Roman"/>
                <w:kern w:val="0"/>
                <w:sz w:val="24"/>
                <w:szCs w:val="24"/>
              </w:rPr>
              <w:t>人数及比例</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5(33%)</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1(7%)</w:t>
            </w:r>
          </w:p>
        </w:tc>
        <w:tc>
          <w:tcPr>
            <w:tcW w:w="674"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2(13%)</w:t>
            </w:r>
          </w:p>
        </w:tc>
        <w:tc>
          <w:tcPr>
            <w:tcW w:w="672" w:type="pct"/>
            <w:gridSpan w:val="3"/>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1(7%)</w:t>
            </w:r>
          </w:p>
        </w:tc>
        <w:tc>
          <w:tcPr>
            <w:tcW w:w="675" w:type="pct"/>
            <w:gridSpan w:val="2"/>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1(7%)</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vMerge w:val="restart"/>
            <w:tcBorders>
              <w:top w:val="single" w:color="auto" w:sz="4" w:space="0"/>
              <w:left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r>
              <w:rPr>
                <w:rFonts w:cs="Times New Roman"/>
                <w:kern w:val="0"/>
                <w:sz w:val="24"/>
                <w:szCs w:val="24"/>
              </w:rPr>
              <w:t>生师比</w:t>
            </w:r>
          </w:p>
        </w:tc>
        <w:tc>
          <w:tcPr>
            <w:tcW w:w="112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color w:val="000000"/>
                <w:kern w:val="0"/>
                <w:sz w:val="24"/>
                <w:szCs w:val="24"/>
              </w:rPr>
            </w:pPr>
            <w:r>
              <w:rPr>
                <w:rFonts w:cs="Times New Roman"/>
                <w:color w:val="000000"/>
                <w:kern w:val="0"/>
                <w:sz w:val="24"/>
                <w:szCs w:val="24"/>
              </w:rPr>
              <w:t>在校博士生数</w:t>
            </w:r>
          </w:p>
        </w:tc>
        <w:tc>
          <w:tcPr>
            <w:tcW w:w="1124" w:type="pct"/>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hint="eastAsia" w:cs="Times New Roman"/>
                <w:sz w:val="24"/>
                <w:szCs w:val="24"/>
              </w:rPr>
              <w:t>5</w:t>
            </w:r>
          </w:p>
        </w:tc>
        <w:tc>
          <w:tcPr>
            <w:tcW w:w="1245"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color w:val="000000"/>
                <w:kern w:val="0"/>
                <w:sz w:val="24"/>
                <w:szCs w:val="24"/>
              </w:rPr>
            </w:pPr>
            <w:r>
              <w:rPr>
                <w:rFonts w:cs="Times New Roman"/>
                <w:color w:val="000000"/>
                <w:kern w:val="0"/>
                <w:sz w:val="24"/>
                <w:szCs w:val="24"/>
              </w:rPr>
              <w:t>在校硕士生数</w:t>
            </w:r>
          </w:p>
        </w:tc>
        <w:tc>
          <w:tcPr>
            <w:tcW w:w="1000" w:type="pct"/>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1</w:t>
            </w:r>
            <w:r>
              <w:rPr>
                <w:rFonts w:hint="eastAsia" w:cs="Times New Roman"/>
                <w:sz w:val="24"/>
                <w:szCs w:val="24"/>
              </w:rPr>
              <w:t>4</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23" w:type="dxa"/>
            <w:bottom w:w="0" w:type="dxa"/>
            <w:right w:w="23" w:type="dxa"/>
          </w:tblCellMar>
        </w:tblPrEx>
        <w:trPr>
          <w:trHeight w:val="253" w:hRule="atLeast"/>
        </w:trPr>
        <w:tc>
          <w:tcPr>
            <w:tcW w:w="505" w:type="pct"/>
            <w:vMerge w:val="continue"/>
            <w:tcBorders>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kern w:val="0"/>
                <w:sz w:val="24"/>
                <w:szCs w:val="24"/>
              </w:rPr>
            </w:pPr>
          </w:p>
        </w:tc>
        <w:tc>
          <w:tcPr>
            <w:tcW w:w="1124"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color w:val="000000"/>
                <w:kern w:val="0"/>
                <w:sz w:val="24"/>
                <w:szCs w:val="24"/>
              </w:rPr>
            </w:pPr>
            <w:r>
              <w:rPr>
                <w:rFonts w:cs="Times New Roman"/>
                <w:color w:val="000000"/>
                <w:kern w:val="0"/>
                <w:sz w:val="24"/>
                <w:szCs w:val="24"/>
              </w:rPr>
              <w:t>专任教师生师比</w:t>
            </w:r>
          </w:p>
        </w:tc>
        <w:tc>
          <w:tcPr>
            <w:tcW w:w="1124" w:type="pct"/>
            <w:gridSpan w:val="5"/>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hint="eastAsia" w:cs="Times New Roman"/>
                <w:sz w:val="24"/>
                <w:szCs w:val="24"/>
              </w:rPr>
              <w:t>1.2</w:t>
            </w:r>
            <w:r>
              <w:rPr>
                <w:rFonts w:cs="Times New Roman"/>
                <w:sz w:val="24"/>
                <w:szCs w:val="24"/>
              </w:rPr>
              <w:t>:1</w:t>
            </w:r>
          </w:p>
        </w:tc>
        <w:tc>
          <w:tcPr>
            <w:tcW w:w="1245" w:type="pct"/>
            <w:gridSpan w:val="5"/>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0" w:firstLineChars="0"/>
              <w:jc w:val="center"/>
              <w:rPr>
                <w:rFonts w:cs="Times New Roman"/>
                <w:color w:val="000000"/>
                <w:kern w:val="0"/>
                <w:sz w:val="24"/>
                <w:szCs w:val="24"/>
              </w:rPr>
            </w:pPr>
            <w:r>
              <w:rPr>
                <w:rFonts w:cs="Times New Roman"/>
                <w:color w:val="000000"/>
                <w:kern w:val="0"/>
                <w:sz w:val="24"/>
                <w:szCs w:val="24"/>
              </w:rPr>
              <w:t>研究生导师生师比</w:t>
            </w:r>
          </w:p>
        </w:tc>
        <w:tc>
          <w:tcPr>
            <w:tcW w:w="1000" w:type="pct"/>
            <w:gridSpan w:val="4"/>
            <w:tcBorders>
              <w:top w:val="single" w:color="auto" w:sz="4" w:space="0"/>
              <w:left w:val="single" w:color="auto" w:sz="4" w:space="0"/>
              <w:bottom w:val="single" w:color="auto" w:sz="4" w:space="0"/>
              <w:right w:val="single" w:color="auto" w:sz="4" w:space="0"/>
            </w:tcBorders>
            <w:vAlign w:val="center"/>
          </w:tcPr>
          <w:p>
            <w:pPr>
              <w:widowControl w:val="0"/>
              <w:spacing w:line="240" w:lineRule="auto"/>
              <w:ind w:firstLine="0" w:firstLineChars="0"/>
              <w:jc w:val="center"/>
              <w:rPr>
                <w:rFonts w:cs="Times New Roman"/>
                <w:sz w:val="24"/>
                <w:szCs w:val="24"/>
              </w:rPr>
            </w:pPr>
            <w:r>
              <w:rPr>
                <w:rFonts w:cs="Times New Roman"/>
                <w:sz w:val="24"/>
                <w:szCs w:val="24"/>
              </w:rPr>
              <w:t>2</w:t>
            </w:r>
            <w:r>
              <w:rPr>
                <w:rFonts w:hint="eastAsia" w:cs="Times New Roman"/>
                <w:sz w:val="24"/>
                <w:szCs w:val="24"/>
              </w:rPr>
              <w:t>.1</w:t>
            </w:r>
            <w:r>
              <w:rPr>
                <w:rFonts w:cs="Times New Roman"/>
                <w:sz w:val="24"/>
                <w:szCs w:val="24"/>
              </w:rPr>
              <w:t>:1</w:t>
            </w:r>
          </w:p>
        </w:tc>
      </w:tr>
    </w:tbl>
    <w:p>
      <w:pPr>
        <w:pStyle w:val="12"/>
        <w:adjustRightInd w:val="0"/>
        <w:snapToGrid w:val="0"/>
        <w:ind w:left="200" w:firstLine="441" w:firstLineChars="157"/>
        <w:rPr>
          <w:rFonts w:cs="宋体"/>
          <w:b/>
          <w:bCs/>
          <w:color w:val="000000"/>
          <w:szCs w:val="28"/>
        </w:rPr>
      </w:pPr>
    </w:p>
    <w:p>
      <w:pPr>
        <w:pStyle w:val="12"/>
        <w:adjustRightInd w:val="0"/>
        <w:snapToGrid w:val="0"/>
        <w:ind w:left="200" w:firstLine="441" w:firstLineChars="157"/>
        <w:rPr>
          <w:rFonts w:cs="宋体"/>
          <w:b/>
          <w:bCs/>
          <w:color w:val="000000"/>
          <w:szCs w:val="28"/>
        </w:rPr>
      </w:pPr>
      <w:r>
        <w:rPr>
          <w:rFonts w:hint="eastAsia" w:cs="宋体"/>
          <w:b/>
          <w:bCs/>
          <w:color w:val="000000"/>
          <w:szCs w:val="28"/>
        </w:rPr>
        <w:t>3.科学研究</w:t>
      </w:r>
    </w:p>
    <w:p>
      <w:pPr>
        <w:ind w:firstLine="619"/>
        <w:rPr>
          <w:szCs w:val="28"/>
        </w:rPr>
      </w:pPr>
      <w:r>
        <w:rPr>
          <w:rFonts w:hint="eastAsia"/>
          <w:szCs w:val="28"/>
        </w:rPr>
        <w:t>3.1本学位点本年度完成的结题科研项目</w:t>
      </w:r>
    </w:p>
    <w:p>
      <w:pPr>
        <w:ind w:firstLine="619"/>
        <w:rPr>
          <w:szCs w:val="28"/>
        </w:rPr>
      </w:pPr>
      <w:r>
        <w:rPr>
          <w:rFonts w:hint="eastAsia"/>
          <w:szCs w:val="28"/>
        </w:rPr>
        <w:t>（1）国家自然科学基金地区项目，濒危植物华木莲繁育系统和小尺度遗传结构研究（31860167），程珊梅，201901-202212，40万元；</w:t>
      </w:r>
    </w:p>
    <w:p>
      <w:pPr>
        <w:ind w:firstLine="619"/>
        <w:rPr>
          <w:szCs w:val="28"/>
        </w:rPr>
      </w:pPr>
      <w:r>
        <w:rPr>
          <w:rFonts w:hint="eastAsia"/>
          <w:szCs w:val="28"/>
        </w:rPr>
        <w:t>（2）国家自然科学基金青年基金，紫云英油菜间作系统抑制土壤碳排放的微生物机制（31901476），周泉，202001-202212，25万元；</w:t>
      </w:r>
    </w:p>
    <w:p>
      <w:pPr>
        <w:ind w:firstLine="619"/>
        <w:rPr>
          <w:szCs w:val="28"/>
        </w:rPr>
      </w:pPr>
      <w:r>
        <w:rPr>
          <w:rFonts w:hint="eastAsia"/>
          <w:szCs w:val="28"/>
        </w:rPr>
        <w:t>（3）国家自然科学基金青年基金，基于</w:t>
      </w:r>
      <w:r>
        <w:rPr>
          <w:rFonts w:hint="eastAsia"/>
          <w:szCs w:val="28"/>
          <w:vertAlign w:val="superscript"/>
        </w:rPr>
        <w:t>15</w:t>
      </w:r>
      <w:r>
        <w:rPr>
          <w:rFonts w:hint="eastAsia"/>
          <w:szCs w:val="28"/>
        </w:rPr>
        <w:t>N研究红壤地“黑麦草+甜玉米║大豆”种植模式中甜玉米氮肥高效利用机制（31901125），杨文亭，202001-202212，25万元；</w:t>
      </w:r>
    </w:p>
    <w:p>
      <w:pPr>
        <w:ind w:firstLine="619"/>
        <w:rPr>
          <w:szCs w:val="28"/>
        </w:rPr>
      </w:pPr>
      <w:r>
        <w:rPr>
          <w:rFonts w:hint="eastAsia"/>
          <w:szCs w:val="28"/>
        </w:rPr>
        <w:t>（4）江西省教育厅科学技术研究项目青年项目，种植模式联合生物炭修复农田铜污染研究（GJJ170290），杨文亭，201801-202012，2万元；</w:t>
      </w:r>
    </w:p>
    <w:p>
      <w:pPr>
        <w:ind w:firstLine="619"/>
        <w:rPr>
          <w:szCs w:val="28"/>
        </w:rPr>
      </w:pPr>
      <w:r>
        <w:rPr>
          <w:rFonts w:hint="eastAsia"/>
          <w:szCs w:val="28"/>
        </w:rPr>
        <w:t>（5）江西省教育厅科学技术研究项目青年项目，徐慧芳，20</w:t>
      </w:r>
      <w:r>
        <w:rPr>
          <w:szCs w:val="28"/>
        </w:rPr>
        <w:t>20</w:t>
      </w:r>
      <w:r>
        <w:rPr>
          <w:rFonts w:hint="eastAsia"/>
          <w:szCs w:val="28"/>
        </w:rPr>
        <w:t>01-202</w:t>
      </w:r>
      <w:r>
        <w:rPr>
          <w:szCs w:val="28"/>
        </w:rPr>
        <w:t>2</w:t>
      </w:r>
      <w:r>
        <w:rPr>
          <w:rFonts w:hint="eastAsia"/>
          <w:szCs w:val="28"/>
        </w:rPr>
        <w:t>12，2万元；</w:t>
      </w:r>
    </w:p>
    <w:p>
      <w:pPr>
        <w:ind w:firstLine="619"/>
        <w:rPr>
          <w:szCs w:val="28"/>
        </w:rPr>
      </w:pPr>
      <w:r>
        <w:rPr>
          <w:rFonts w:hint="eastAsia"/>
          <w:szCs w:val="28"/>
        </w:rPr>
        <w:t>（6）江西省自然科学基金青年项目，创新修饰海藻糖通路调节水稻生长发育的生理机制研究，梁效贵，202001-202212，6万元；</w:t>
      </w:r>
    </w:p>
    <w:p>
      <w:pPr>
        <w:ind w:firstLine="619"/>
        <w:rPr>
          <w:szCs w:val="28"/>
        </w:rPr>
      </w:pPr>
      <w:r>
        <w:rPr>
          <w:rFonts w:hint="eastAsia"/>
          <w:szCs w:val="28"/>
        </w:rPr>
        <w:t>（7）江西省教育厅科学技术研究项目青年项目，井冈霉素影响水稻海藻糖代谢的生理机制，梁效贵，20</w:t>
      </w:r>
      <w:r>
        <w:rPr>
          <w:szCs w:val="28"/>
        </w:rPr>
        <w:t>20</w:t>
      </w:r>
      <w:r>
        <w:rPr>
          <w:rFonts w:hint="eastAsia"/>
          <w:szCs w:val="28"/>
        </w:rPr>
        <w:t>01-202</w:t>
      </w:r>
      <w:r>
        <w:rPr>
          <w:szCs w:val="28"/>
        </w:rPr>
        <w:t>2</w:t>
      </w:r>
      <w:r>
        <w:rPr>
          <w:rFonts w:hint="eastAsia"/>
          <w:szCs w:val="28"/>
        </w:rPr>
        <w:t>12，2万元。</w:t>
      </w:r>
    </w:p>
    <w:p>
      <w:pPr>
        <w:ind w:firstLine="619"/>
        <w:rPr>
          <w:szCs w:val="28"/>
        </w:rPr>
      </w:pPr>
      <w:r>
        <w:rPr>
          <w:rFonts w:hint="eastAsia"/>
          <w:szCs w:val="28"/>
        </w:rPr>
        <w:t>3.2 本学位点本年度在研项目情况</w:t>
      </w:r>
    </w:p>
    <w:p>
      <w:pPr>
        <w:ind w:firstLine="619"/>
        <w:rPr>
          <w:szCs w:val="28"/>
        </w:rPr>
      </w:pPr>
      <w:r>
        <w:rPr>
          <w:rFonts w:hint="eastAsia"/>
          <w:szCs w:val="28"/>
        </w:rPr>
        <w:t>（1）国家自然科学基金地区基金，减氮调控双季稻田氧化亚氮排放的微生物学机制——基于绿肥混播模式（32160528），杨滨娟，202201-202512，35万元；</w:t>
      </w:r>
    </w:p>
    <w:p>
      <w:pPr>
        <w:ind w:firstLine="619"/>
        <w:rPr>
          <w:szCs w:val="28"/>
        </w:rPr>
      </w:pPr>
      <w:r>
        <w:rPr>
          <w:rFonts w:hint="eastAsia"/>
          <w:szCs w:val="28"/>
        </w:rPr>
        <w:t>（2）国家自然科学基金地区基金，海藻糖信号调控离体培养玉米籽粒高温适应性的生理机制（32160445），梁效贵，202201-202512，35万元；</w:t>
      </w:r>
    </w:p>
    <w:p>
      <w:pPr>
        <w:ind w:firstLine="619"/>
        <w:rPr>
          <w:szCs w:val="28"/>
        </w:rPr>
      </w:pPr>
      <w:r>
        <w:rPr>
          <w:rFonts w:hint="eastAsia"/>
          <w:szCs w:val="28"/>
        </w:rPr>
        <w:t>（3）国家自然科学基金地区基金，长期施肥下旱地红壤N2O排放的真菌和细菌反硝化作用机制研究（32160310），徐慧芳，202201-202512，35万元；</w:t>
      </w:r>
    </w:p>
    <w:p>
      <w:pPr>
        <w:ind w:firstLine="560" w:firstLineChars="200"/>
        <w:rPr>
          <w:szCs w:val="28"/>
        </w:rPr>
      </w:pPr>
      <w:r>
        <w:rPr>
          <w:rFonts w:hint="eastAsia"/>
          <w:szCs w:val="28"/>
        </w:rPr>
        <w:t>（4）国家自然科学基金地区项目，世界豆腐柴属（唇形科）的分类学修订（</w:t>
      </w:r>
      <w:r>
        <w:rPr>
          <w:szCs w:val="28"/>
        </w:rPr>
        <w:t>32160047</w:t>
      </w:r>
      <w:r>
        <w:rPr>
          <w:rFonts w:hint="eastAsia"/>
          <w:szCs w:val="28"/>
        </w:rPr>
        <w:t>），李波，2</w:t>
      </w:r>
      <w:r>
        <w:rPr>
          <w:szCs w:val="28"/>
        </w:rPr>
        <w:t>022.01-2025.12</w:t>
      </w:r>
      <w:r>
        <w:rPr>
          <w:rFonts w:hint="eastAsia"/>
          <w:szCs w:val="28"/>
        </w:rPr>
        <w:t>，3</w:t>
      </w:r>
      <w:r>
        <w:rPr>
          <w:szCs w:val="28"/>
        </w:rPr>
        <w:t>5</w:t>
      </w:r>
      <w:r>
        <w:rPr>
          <w:rFonts w:hint="eastAsia"/>
          <w:szCs w:val="28"/>
        </w:rPr>
        <w:t>万元；</w:t>
      </w:r>
    </w:p>
    <w:p>
      <w:pPr>
        <w:ind w:firstLine="560" w:firstLineChars="200"/>
        <w:rPr>
          <w:szCs w:val="28"/>
        </w:rPr>
      </w:pPr>
      <w:r>
        <w:rPr>
          <w:rFonts w:hint="eastAsia"/>
          <w:szCs w:val="28"/>
        </w:rPr>
        <w:t>（</w:t>
      </w:r>
      <w:r>
        <w:rPr>
          <w:szCs w:val="28"/>
        </w:rPr>
        <w:t>5</w:t>
      </w:r>
      <w:r>
        <w:rPr>
          <w:rFonts w:hint="eastAsia"/>
          <w:szCs w:val="28"/>
        </w:rPr>
        <w:t>）江西省自然科学基金青年项目，阳亿，2</w:t>
      </w:r>
      <w:r>
        <w:rPr>
          <w:szCs w:val="28"/>
        </w:rPr>
        <w:t>022.01-2024.12</w:t>
      </w:r>
      <w:r>
        <w:rPr>
          <w:rFonts w:hint="eastAsia"/>
          <w:szCs w:val="28"/>
        </w:rPr>
        <w:t>，6万元；</w:t>
      </w:r>
    </w:p>
    <w:p>
      <w:pPr>
        <w:ind w:firstLine="560" w:firstLineChars="200"/>
        <w:rPr>
          <w:szCs w:val="28"/>
        </w:rPr>
      </w:pPr>
      <w:r>
        <w:rPr>
          <w:rFonts w:hint="eastAsia"/>
          <w:szCs w:val="28"/>
        </w:rPr>
        <w:t>（6）江西省自然科学基金重点项目，红壤旱地豆科十字花科间作的农田生产机制及土壤微生态效应（20202ACBL215002），周泉，202001-202312，20万元。</w:t>
      </w:r>
    </w:p>
    <w:p>
      <w:pPr>
        <w:ind w:firstLine="562" w:firstLineChars="200"/>
        <w:rPr>
          <w:rFonts w:cs="宋体"/>
          <w:b/>
          <w:bCs/>
          <w:szCs w:val="28"/>
        </w:rPr>
      </w:pPr>
      <w:bookmarkStart w:id="5" w:name="_GoBack"/>
      <w:bookmarkEnd w:id="5"/>
      <w:r>
        <w:rPr>
          <w:rFonts w:hint="eastAsia" w:cs="宋体"/>
          <w:b/>
          <w:bCs/>
          <w:color w:val="000000"/>
          <w:szCs w:val="28"/>
        </w:rPr>
        <w:t>4.教学科研支撑</w:t>
      </w:r>
    </w:p>
    <w:p>
      <w:pPr>
        <w:pStyle w:val="2"/>
        <w:ind w:firstLine="560"/>
        <w:rPr>
          <w:szCs w:val="28"/>
        </w:rPr>
      </w:pPr>
      <w:r>
        <w:rPr>
          <w:rFonts w:hint="eastAsia"/>
          <w:szCs w:val="28"/>
        </w:rPr>
        <w:t>4.1 学位点本年度主要著作、论文成果</w:t>
      </w:r>
    </w:p>
    <w:p>
      <w:pPr>
        <w:ind w:firstLine="560" w:firstLineChars="200"/>
        <w:rPr>
          <w:rFonts w:cs="Times New Roman"/>
          <w:szCs w:val="28"/>
        </w:rPr>
      </w:pPr>
      <w:r>
        <w:rPr>
          <w:rFonts w:hint="eastAsia" w:cs="Times New Roman"/>
          <w:szCs w:val="28"/>
        </w:rPr>
        <w:t xml:space="preserve">2022年学科共出版著作2部，发表期刊论文39篇，其中英文文章17篇，中文文章22篇。具体如下： </w:t>
      </w:r>
    </w:p>
    <w:p>
      <w:pPr>
        <w:pStyle w:val="2"/>
        <w:ind w:firstLine="560"/>
      </w:pPr>
      <w:r>
        <w:rPr>
          <w:rFonts w:hint="eastAsia"/>
        </w:rPr>
        <w:t>●出版著作：2部。</w:t>
      </w:r>
    </w:p>
    <w:p>
      <w:pPr>
        <w:ind w:firstLine="619"/>
      </w:pPr>
      <w:r>
        <w:rPr>
          <w:rFonts w:hint="eastAsia"/>
        </w:rPr>
        <w:t>黄国勤著，《长江经济带农业绿色发展理论与实践》，北京：中国农业出版社，2022年2月</w:t>
      </w:r>
    </w:p>
    <w:p>
      <w:pPr>
        <w:ind w:firstLine="619"/>
      </w:pPr>
      <w:r>
        <w:rPr>
          <w:rFonts w:hint="eastAsia"/>
        </w:rPr>
        <w:t>黄国勤主编，《生态学与打好污染防治攻坚战》，北京：中国环境出版集团，2022年8月</w:t>
      </w:r>
    </w:p>
    <w:p>
      <w:pPr>
        <w:pStyle w:val="2"/>
        <w:ind w:firstLine="560"/>
      </w:pPr>
      <w:r>
        <w:rPr>
          <w:rFonts w:hint="eastAsia"/>
        </w:rPr>
        <w:t>●发表英文期刊论文：17篇。</w:t>
      </w:r>
    </w:p>
    <w:p>
      <w:pPr>
        <w:spacing w:line="240" w:lineRule="auto"/>
        <w:ind w:left="560" w:hanging="560" w:hangingChars="200"/>
        <w:rPr>
          <w:rFonts w:cs="Times New Roman"/>
          <w:szCs w:val="28"/>
        </w:rPr>
      </w:pPr>
      <w:r>
        <w:rPr>
          <w:rFonts w:hint="eastAsia" w:cs="Times New Roman"/>
          <w:szCs w:val="28"/>
        </w:rPr>
        <w:t xml:space="preserve">1 </w:t>
      </w:r>
      <w:r>
        <w:rPr>
          <w:rFonts w:cs="Times New Roman"/>
          <w:szCs w:val="28"/>
        </w:rPr>
        <w:t>Shujian Guo, Shujuan Li, Guoqin Huang</w:t>
      </w:r>
      <w:r>
        <w:rPr>
          <w:rFonts w:cs="Times New Roman"/>
          <w:szCs w:val="28"/>
          <w:vertAlign w:val="superscript"/>
        </w:rPr>
        <w:t>*</w:t>
      </w:r>
      <w:r>
        <w:rPr>
          <w:rFonts w:cs="Times New Roman"/>
          <w:szCs w:val="28"/>
        </w:rPr>
        <w:t xml:space="preserve">，Effects of Different Intercropping Models on Growth and Yield Traits of Maize in Red Soil Dryland, </w:t>
      </w:r>
      <w:r>
        <w:rPr>
          <w:rFonts w:cs="Times New Roman"/>
          <w:i/>
          <w:szCs w:val="28"/>
        </w:rPr>
        <w:t>Research on World Agricultural Economy</w:t>
      </w:r>
      <w:r>
        <w:rPr>
          <w:rFonts w:cs="Times New Roman"/>
          <w:szCs w:val="28"/>
        </w:rPr>
        <w:t>, 2022,3(1):1-8</w:t>
      </w:r>
    </w:p>
    <w:p>
      <w:pPr>
        <w:tabs>
          <w:tab w:val="left" w:pos="1961"/>
        </w:tabs>
        <w:spacing w:line="240" w:lineRule="auto"/>
        <w:ind w:left="560" w:hanging="560" w:hangingChars="200"/>
        <w:rPr>
          <w:rFonts w:cs="Times New Roman"/>
          <w:szCs w:val="28"/>
        </w:rPr>
      </w:pPr>
      <w:r>
        <w:rPr>
          <w:rFonts w:hint="eastAsia" w:cs="Times New Roman"/>
          <w:szCs w:val="28"/>
        </w:rPr>
        <w:t>2</w:t>
      </w:r>
      <w:r>
        <w:rPr>
          <w:rFonts w:cs="Times New Roman"/>
          <w:szCs w:val="28"/>
        </w:rPr>
        <w:t xml:space="preserve"> Qiliang Hu, Binjuan Yang, Na Li, Ning Liu, Shujiang Guo, Guoqin Huang</w:t>
      </w:r>
      <w:r>
        <w:rPr>
          <w:rFonts w:cs="Times New Roman"/>
          <w:szCs w:val="28"/>
          <w:vertAlign w:val="superscript"/>
        </w:rPr>
        <w:t>*</w:t>
      </w:r>
      <w:r>
        <w:rPr>
          <w:rFonts w:cs="Times New Roman"/>
          <w:szCs w:val="28"/>
        </w:rPr>
        <w:t>，Effects of Mixed Sowing of Chinese Milk Vetch (Astragalus sinicus L.) and Rape on Rice Yield and Soil Physical and Chemical Properties,</w:t>
      </w:r>
      <w:r>
        <w:rPr>
          <w:rFonts w:cs="Times New Roman"/>
          <w:i/>
          <w:szCs w:val="28"/>
        </w:rPr>
        <w:t xml:space="preserve"> Research on World Agricultural Economy</w:t>
      </w:r>
      <w:r>
        <w:rPr>
          <w:rFonts w:cs="Times New Roman"/>
          <w:szCs w:val="28"/>
        </w:rPr>
        <w:t>, 2022,3(1):9-1</w:t>
      </w:r>
    </w:p>
    <w:p>
      <w:pPr>
        <w:spacing w:line="240" w:lineRule="auto"/>
        <w:ind w:left="560" w:hanging="560" w:hangingChars="200"/>
        <w:rPr>
          <w:rFonts w:cs="Times New Roman"/>
          <w:szCs w:val="28"/>
        </w:rPr>
      </w:pPr>
      <w:r>
        <w:rPr>
          <w:rFonts w:hint="eastAsia" w:cs="Times New Roman"/>
          <w:szCs w:val="28"/>
        </w:rPr>
        <w:t xml:space="preserve">3 </w:t>
      </w:r>
      <w:r>
        <w:rPr>
          <w:rFonts w:cs="Times New Roman"/>
          <w:szCs w:val="28"/>
        </w:rPr>
        <w:t>Zeqin Liu，Quan Zhou，Fengzai Ouyang，Yiqiang Liu，Gaojie Su，Xuehao Wang，Zhijie Hou，Tengqi Wang，Yajun Wang，Guoqin Huang*. Border-rows Effect of Rape (Brassica napus L.) Intercropping with  Milk Vetch (</w:t>
      </w:r>
      <w:r>
        <w:rPr>
          <w:rFonts w:cs="Times New Roman"/>
          <w:i/>
          <w:szCs w:val="28"/>
        </w:rPr>
        <w:t>Astragalus sinicus L.</w:t>
      </w:r>
      <w:r>
        <w:rPr>
          <w:rFonts w:cs="Times New Roman"/>
          <w:szCs w:val="28"/>
        </w:rPr>
        <w:t>)，</w:t>
      </w:r>
      <w:r>
        <w:rPr>
          <w:rFonts w:cs="Times New Roman"/>
          <w:i/>
          <w:szCs w:val="28"/>
        </w:rPr>
        <w:t>Research on World Agricultural Economy</w:t>
      </w:r>
      <w:r>
        <w:rPr>
          <w:rFonts w:cs="Times New Roman"/>
          <w:szCs w:val="28"/>
        </w:rPr>
        <w:t>，2022，3（1）：24-32</w:t>
      </w:r>
    </w:p>
    <w:p>
      <w:pPr>
        <w:spacing w:line="240" w:lineRule="auto"/>
        <w:ind w:left="560" w:hanging="560" w:hangingChars="200"/>
        <w:rPr>
          <w:rFonts w:cs="Times New Roman"/>
          <w:szCs w:val="28"/>
        </w:rPr>
      </w:pPr>
      <w:r>
        <w:rPr>
          <w:rFonts w:hint="eastAsia" w:cs="Times New Roman"/>
          <w:szCs w:val="28"/>
        </w:rPr>
        <w:t xml:space="preserve">4 </w:t>
      </w:r>
      <w:r>
        <w:rPr>
          <w:rFonts w:eastAsia="微软雅黑" w:cs="Times New Roman"/>
          <w:kern w:val="0"/>
          <w:szCs w:val="28"/>
        </w:rPr>
        <w:t>Muhammad Umair Hassan, Athar Mahmood, Masood Iqbal Awan, Rizwan Maqbool,Muhammad Aamer, Haifa A. S. Alhaithloul, Guoqin Huang*</w:t>
      </w:r>
      <w:r>
        <w:rPr>
          <w:rFonts w:cs="Times New Roman"/>
          <w:szCs w:val="28"/>
        </w:rPr>
        <w:t xml:space="preserve">, </w:t>
      </w:r>
      <w:r>
        <w:rPr>
          <w:rFonts w:eastAsia="微软雅黑" w:cs="Times New Roman"/>
          <w:kern w:val="0"/>
          <w:szCs w:val="28"/>
        </w:rPr>
        <w:t>Milan Skalicky,</w:t>
      </w:r>
      <w:r>
        <w:rPr>
          <w:rFonts w:hint="eastAsia" w:eastAsia="微软雅黑" w:cs="Times New Roman"/>
          <w:kern w:val="0"/>
          <w:szCs w:val="28"/>
        </w:rPr>
        <w:t xml:space="preserve"> </w:t>
      </w:r>
      <w:r>
        <w:rPr>
          <w:rFonts w:eastAsia="微软雅黑" w:cs="Times New Roman"/>
          <w:kern w:val="0"/>
          <w:szCs w:val="28"/>
        </w:rPr>
        <w:t xml:space="preserve">Marian Brestic, Saurabh Pandey, Ayman El Sabagh and Sameer H. Qari. Melatonin-Induced Protection Against Plant Abiotic Stress: Mechanisms and Prospects, </w:t>
      </w:r>
      <w:r>
        <w:rPr>
          <w:rFonts w:eastAsia="微软雅黑" w:cs="Times New Roman"/>
          <w:i/>
          <w:kern w:val="0"/>
          <w:szCs w:val="28"/>
        </w:rPr>
        <w:t>Frontiers in Plant Science</w:t>
      </w:r>
      <w:r>
        <w:rPr>
          <w:rFonts w:eastAsia="微软雅黑" w:cs="Times New Roman"/>
          <w:kern w:val="0"/>
          <w:szCs w:val="28"/>
        </w:rPr>
        <w:t>,2022,13, Article 902694, www.frontiersin.org.</w:t>
      </w:r>
    </w:p>
    <w:p>
      <w:pPr>
        <w:spacing w:line="240" w:lineRule="auto"/>
        <w:ind w:left="560" w:hanging="560" w:hangingChars="200"/>
        <w:rPr>
          <w:rFonts w:cs="Times New Roman"/>
          <w:szCs w:val="28"/>
        </w:rPr>
      </w:pPr>
      <w:r>
        <w:rPr>
          <w:rFonts w:hint="eastAsia" w:cs="Times New Roman"/>
          <w:szCs w:val="28"/>
        </w:rPr>
        <w:t xml:space="preserve">5 </w:t>
      </w:r>
      <w:r>
        <w:rPr>
          <w:rFonts w:cs="Times New Roman"/>
          <w:szCs w:val="28"/>
        </w:rPr>
        <w:t>Muhammad Umair Hassan, Muhammad Aamer, Athar Mahmood, Masood Iqbal Awan,</w:t>
      </w:r>
      <w:r>
        <w:rPr>
          <w:rFonts w:hint="eastAsia" w:cs="Times New Roman"/>
          <w:szCs w:val="28"/>
        </w:rPr>
        <w:t xml:space="preserve"> </w:t>
      </w:r>
      <w:r>
        <w:rPr>
          <w:rFonts w:cs="Times New Roman"/>
          <w:szCs w:val="28"/>
        </w:rPr>
        <w:t>Lorenzo Barbanti, Mahmoud F. Seleiman, Ghous Bakhsh, Hiba M. Alkharabsheh, Emre Babur,</w:t>
      </w:r>
      <w:r>
        <w:rPr>
          <w:rFonts w:hint="eastAsia" w:cs="Times New Roman"/>
          <w:szCs w:val="28"/>
        </w:rPr>
        <w:t xml:space="preserve"> </w:t>
      </w:r>
      <w:r>
        <w:rPr>
          <w:rFonts w:cs="Times New Roman"/>
          <w:szCs w:val="28"/>
        </w:rPr>
        <w:t>Jinhua Shao, Adnan Rasheed and Guoqin Huang*, Management Strategies to Mitigate N</w:t>
      </w:r>
      <w:r>
        <w:rPr>
          <w:rFonts w:cs="Times New Roman"/>
          <w:szCs w:val="28"/>
          <w:vertAlign w:val="subscript"/>
        </w:rPr>
        <w:t>2</w:t>
      </w:r>
      <w:r>
        <w:rPr>
          <w:rFonts w:cs="Times New Roman"/>
          <w:szCs w:val="28"/>
        </w:rPr>
        <w:t>O Emissions in Agriculture,</w:t>
      </w:r>
      <w:r>
        <w:rPr>
          <w:rFonts w:cs="Times New Roman"/>
          <w:i/>
          <w:szCs w:val="28"/>
        </w:rPr>
        <w:t xml:space="preserve"> Life</w:t>
      </w:r>
      <w:r>
        <w:rPr>
          <w:rFonts w:cs="Times New Roman"/>
          <w:szCs w:val="28"/>
        </w:rPr>
        <w:t>, 2022, 12, 439. https://doi.org/10.3390/life12030439,1-33</w:t>
      </w:r>
    </w:p>
    <w:p>
      <w:pPr>
        <w:spacing w:line="240" w:lineRule="auto"/>
        <w:ind w:left="560" w:hanging="560" w:hangingChars="200"/>
        <w:rPr>
          <w:rFonts w:cs="Times New Roman"/>
          <w:szCs w:val="28"/>
        </w:rPr>
      </w:pPr>
      <w:r>
        <w:rPr>
          <w:rFonts w:hint="eastAsia" w:cs="Times New Roman"/>
          <w:szCs w:val="28"/>
        </w:rPr>
        <w:t>6</w:t>
      </w:r>
      <w:r>
        <w:rPr>
          <w:rFonts w:cs="Times New Roman"/>
          <w:szCs w:val="28"/>
        </w:rPr>
        <w:t xml:space="preserve"> Lijin Zhang, Hu Du, Zhiqi Yang, Tongqing*, Fuping Zeng, Wanxia Peng and Guoqin Huang*, Topography and Soil Properties Determine Biomass and Productivity Indirectly via Community Structural and Species Diversity in Karst Forest, Southwest China. </w:t>
      </w:r>
      <w:r>
        <w:rPr>
          <w:rFonts w:cs="Times New Roman"/>
          <w:i/>
          <w:szCs w:val="28"/>
        </w:rPr>
        <w:t>Sustainability</w:t>
      </w:r>
      <w:r>
        <w:rPr>
          <w:rFonts w:cs="Times New Roman"/>
          <w:szCs w:val="28"/>
        </w:rPr>
        <w:t>,  2022, 14, 7644. https://doi.org/10.3390/su14137644, https://www.mdpi.com/journal/sustainability.</w:t>
      </w:r>
    </w:p>
    <w:p>
      <w:pPr>
        <w:spacing w:line="240" w:lineRule="auto"/>
        <w:ind w:left="560" w:hanging="560" w:hangingChars="200"/>
        <w:rPr>
          <w:rFonts w:cs="Times New Roman"/>
          <w:szCs w:val="28"/>
        </w:rPr>
      </w:pPr>
      <w:r>
        <w:rPr>
          <w:rFonts w:hint="eastAsia" w:cs="Times New Roman"/>
          <w:szCs w:val="28"/>
        </w:rPr>
        <w:t xml:space="preserve">7 </w:t>
      </w:r>
      <w:r>
        <w:rPr>
          <w:rFonts w:cs="Times New Roman"/>
          <w:szCs w:val="28"/>
        </w:rPr>
        <w:t>Na Li, Xinmei Li, Shujuan Li, Shujian Guo, Ziwei Wan, Guoqin Huang</w:t>
      </w:r>
      <w:r>
        <w:rPr>
          <w:rFonts w:cs="Times New Roman"/>
          <w:szCs w:val="28"/>
          <w:vertAlign w:val="superscript"/>
        </w:rPr>
        <w:t>*</w:t>
      </w:r>
      <w:r>
        <w:rPr>
          <w:rFonts w:cs="Times New Roman"/>
          <w:szCs w:val="28"/>
        </w:rPr>
        <w:t>, Huifang Xu</w:t>
      </w:r>
      <w:r>
        <w:rPr>
          <w:rFonts w:cs="Times New Roman"/>
          <w:szCs w:val="28"/>
          <w:vertAlign w:val="superscript"/>
        </w:rPr>
        <w:t>*</w:t>
      </w:r>
      <w:r>
        <w:rPr>
          <w:rFonts w:cs="Times New Roman"/>
          <w:szCs w:val="28"/>
        </w:rPr>
        <w:t xml:space="preserve">, Impacts of Rotation-Fallow Practices on Bacterial Community Structure in Paddy Fields, </w:t>
      </w:r>
      <w:r>
        <w:rPr>
          <w:rFonts w:cs="Times New Roman"/>
          <w:i/>
          <w:szCs w:val="28"/>
        </w:rPr>
        <w:t>Microbiology Spectrum</w:t>
      </w:r>
      <w:r>
        <w:rPr>
          <w:rFonts w:cs="Times New Roman"/>
          <w:szCs w:val="28"/>
        </w:rPr>
        <w:t>, 10.1128/spectrum.00227-22</w:t>
      </w:r>
    </w:p>
    <w:p>
      <w:pPr>
        <w:spacing w:line="240" w:lineRule="auto"/>
        <w:ind w:left="560" w:hanging="560" w:hangingChars="200"/>
        <w:rPr>
          <w:rFonts w:cs="Times New Roman"/>
          <w:szCs w:val="28"/>
        </w:rPr>
      </w:pPr>
      <w:r>
        <w:rPr>
          <w:rFonts w:hint="eastAsia" w:cs="Times New Roman"/>
          <w:szCs w:val="28"/>
        </w:rPr>
        <w:t xml:space="preserve">8 </w:t>
      </w:r>
      <w:r>
        <w:rPr>
          <w:rFonts w:cs="Times New Roman"/>
          <w:szCs w:val="28"/>
        </w:rPr>
        <w:t>Haiying Tang, Shubin Wang, Ying Liu, Muhammad Umair Hassan, Ying Song, Guoqin Huang</w:t>
      </w:r>
      <w:r>
        <w:rPr>
          <w:rFonts w:cs="Times New Roman"/>
          <w:szCs w:val="28"/>
          <w:vertAlign w:val="superscript"/>
        </w:rPr>
        <w:t>*</w:t>
      </w:r>
      <w:r>
        <w:rPr>
          <w:rFonts w:cs="Times New Roman"/>
          <w:szCs w:val="28"/>
        </w:rPr>
        <w:t xml:space="preserve">, Mohamed Hashem, Saad Alamri, Yasser S. Mostafa, Biochar: A promising soil amendment to mitigate heavy metals toxicity in plants, </w:t>
      </w:r>
      <w:r>
        <w:rPr>
          <w:rFonts w:cs="Times New Roman"/>
          <w:i/>
          <w:szCs w:val="28"/>
        </w:rPr>
        <w:t>Not Bot Horti Agrobo</w:t>
      </w:r>
      <w:r>
        <w:rPr>
          <w:rFonts w:cs="Times New Roman"/>
          <w:szCs w:val="28"/>
        </w:rPr>
        <w:t>, 2022,50(3):12778</w:t>
      </w:r>
    </w:p>
    <w:p>
      <w:pPr>
        <w:spacing w:line="240" w:lineRule="auto"/>
        <w:ind w:left="560" w:hanging="560" w:hangingChars="200"/>
        <w:rPr>
          <w:rFonts w:cs="Times New Roman"/>
          <w:szCs w:val="28"/>
        </w:rPr>
      </w:pPr>
      <w:r>
        <w:rPr>
          <w:rFonts w:hint="eastAsia" w:cs="Times New Roman"/>
          <w:szCs w:val="28"/>
        </w:rPr>
        <w:t xml:space="preserve">9 </w:t>
      </w:r>
      <w:r>
        <w:rPr>
          <w:rFonts w:cs="Times New Roman"/>
          <w:szCs w:val="28"/>
        </w:rPr>
        <w:t xml:space="preserve">Zeqin Liu, Shujuan Li, Ning Liu, Guoqin Huang*, and Quan Zhou*, Soil Microbial Community Driven by Soil Moisture and Nitrogen in Milk Vetch (Astragalus sinicus L.)–Rapeseed (Brassica napus L.) Intercropping, </w:t>
      </w:r>
      <w:r>
        <w:rPr>
          <w:rFonts w:cs="Times New Roman"/>
          <w:i/>
          <w:szCs w:val="28"/>
        </w:rPr>
        <w:t>Agriculture</w:t>
      </w:r>
      <w:r>
        <w:rPr>
          <w:rFonts w:cs="Times New Roman"/>
          <w:szCs w:val="28"/>
        </w:rPr>
        <w:t>, 2022, 12, 1538. https://doi.org/10.3390/agriculture12101538</w:t>
      </w:r>
    </w:p>
    <w:p>
      <w:pPr>
        <w:spacing w:line="240" w:lineRule="auto"/>
        <w:ind w:left="560" w:hanging="560" w:hangingChars="200"/>
        <w:rPr>
          <w:rFonts w:cs="Times New Roman"/>
          <w:szCs w:val="28"/>
        </w:rPr>
      </w:pPr>
      <w:r>
        <w:rPr>
          <w:rFonts w:hint="eastAsia" w:cs="Times New Roman"/>
          <w:szCs w:val="28"/>
        </w:rPr>
        <w:t xml:space="preserve">10 </w:t>
      </w:r>
      <w:r>
        <w:rPr>
          <w:rFonts w:cs="Times New Roman"/>
          <w:szCs w:val="28"/>
        </w:rPr>
        <w:t xml:space="preserve">Jinhua Shao, Kai Huang, Maria Batool, Fahad Idrees, Rabail Afzal, Muhammad Haroon, Hamza Armghan Noushahi, Weixiong Wu, Qiliang Hu, Xingda Lu, Guoqin Huang*, Muhammad Aamer,  Muhammad Umair Hassan and Ayman El Sabagh, Versatile roles of polyamines in improving abiotic stress tolerance of plants, </w:t>
      </w:r>
      <w:r>
        <w:rPr>
          <w:rFonts w:cs="Times New Roman"/>
          <w:i/>
          <w:szCs w:val="28"/>
        </w:rPr>
        <w:t>Frontiers in Plant Science</w:t>
      </w:r>
      <w:r>
        <w:rPr>
          <w:rFonts w:cs="Times New Roman"/>
          <w:szCs w:val="28"/>
        </w:rPr>
        <w:t>, 10.3389/fpls.2022.1003155.</w:t>
      </w:r>
    </w:p>
    <w:p>
      <w:pPr>
        <w:spacing w:line="240" w:lineRule="auto"/>
        <w:ind w:left="560" w:hanging="560" w:hangingChars="200"/>
        <w:rPr>
          <w:rFonts w:cs="Times New Roman"/>
          <w:szCs w:val="28"/>
        </w:rPr>
      </w:pPr>
      <w:r>
        <w:rPr>
          <w:rFonts w:hint="eastAsia" w:cs="Times New Roman"/>
          <w:szCs w:val="28"/>
        </w:rPr>
        <w:t xml:space="preserve">11 </w:t>
      </w:r>
      <w:r>
        <w:rPr>
          <w:rFonts w:cs="Times New Roman"/>
          <w:szCs w:val="28"/>
        </w:rPr>
        <w:t xml:space="preserve">Haiying Tang, Guiyuan Meng, Junqing Xiang, Athar Mahmood, Guohong Xiang, Sana Ullah, Ying Liu1 and Guoqin Huang*, Toxic effects of antimony in plants: Reasons and remediation possibilities—A review and future prospects, </w:t>
      </w:r>
      <w:r>
        <w:rPr>
          <w:rFonts w:cs="Times New Roman"/>
          <w:i/>
          <w:szCs w:val="28"/>
        </w:rPr>
        <w:t>Frontiers in Plant Science</w:t>
      </w:r>
      <w:r>
        <w:rPr>
          <w:rFonts w:cs="Times New Roman"/>
          <w:szCs w:val="28"/>
        </w:rPr>
        <w:t>, 10.3389/fpls.2022.1011945</w:t>
      </w:r>
    </w:p>
    <w:p>
      <w:pPr>
        <w:spacing w:line="240" w:lineRule="auto"/>
        <w:ind w:left="560" w:hanging="560" w:hangingChars="200"/>
        <w:rPr>
          <w:szCs w:val="28"/>
        </w:rPr>
      </w:pPr>
      <w:r>
        <w:rPr>
          <w:rFonts w:hint="eastAsia" w:cs="Times New Roman"/>
          <w:szCs w:val="28"/>
        </w:rPr>
        <w:t>1</w:t>
      </w:r>
      <w:r>
        <w:rPr>
          <w:rFonts w:cs="Times New Roman"/>
          <w:szCs w:val="28"/>
        </w:rPr>
        <w:t>2</w:t>
      </w:r>
      <w:r>
        <w:rPr>
          <w:rFonts w:hint="eastAsia" w:cs="Times New Roman"/>
          <w:szCs w:val="28"/>
        </w:rPr>
        <w:t xml:space="preserve"> </w:t>
      </w:r>
      <w:r>
        <w:rPr>
          <w:rFonts w:cs="Times New Roman"/>
          <w:szCs w:val="28"/>
        </w:rPr>
        <w:t>Yongfang Yu, Wenting Yang, Haocheng Wang and Guoqin Huang*, In Situ Synthesis of MnMgFe-LDH on Biochar for Electrochemical Detection and Removal of Cd</w:t>
      </w:r>
      <w:r>
        <w:rPr>
          <w:rFonts w:cs="Times New Roman"/>
          <w:szCs w:val="28"/>
          <w:vertAlign w:val="superscript"/>
        </w:rPr>
        <w:t>2+</w:t>
      </w:r>
      <w:r>
        <w:rPr>
          <w:rFonts w:cs="Times New Roman"/>
          <w:szCs w:val="28"/>
        </w:rPr>
        <w:t xml:space="preserve"> in Aqueous Solution, </w:t>
      </w:r>
      <w:r>
        <w:rPr>
          <w:rFonts w:cs="Times New Roman"/>
          <w:i/>
          <w:szCs w:val="28"/>
        </w:rPr>
        <w:t>Molecules</w:t>
      </w:r>
      <w:r>
        <w:rPr>
          <w:rFonts w:cs="Times New Roman"/>
          <w:szCs w:val="28"/>
        </w:rPr>
        <w:t>, 2022, 27, 7875</w:t>
      </w:r>
      <w:r>
        <w:rPr>
          <w:szCs w:val="28"/>
        </w:rPr>
        <w:tab/>
      </w:r>
    </w:p>
    <w:p>
      <w:pPr>
        <w:spacing w:line="240" w:lineRule="auto"/>
        <w:ind w:left="560" w:hanging="560" w:hangingChars="200"/>
        <w:rPr>
          <w:rFonts w:cs="Times New Roman"/>
          <w:szCs w:val="28"/>
        </w:rPr>
      </w:pPr>
      <w:r>
        <w:rPr>
          <w:rFonts w:hint="eastAsia" w:cs="Times New Roman"/>
          <w:szCs w:val="28"/>
        </w:rPr>
        <w:t xml:space="preserve">13 </w:t>
      </w:r>
      <w:r>
        <w:rPr>
          <w:rFonts w:cs="Times New Roman"/>
          <w:szCs w:val="28"/>
        </w:rPr>
        <w:t>Xiaogui Liang, Zhen Gao, Si Shen, Xue Zhao, Li Zhang, Shunli Zhou*, Cob color, an indicator of grain dehydration and agronomic traits in</w:t>
      </w:r>
      <w:r>
        <w:rPr>
          <w:rFonts w:hint="eastAsia" w:cs="Times New Roman"/>
          <w:szCs w:val="28"/>
        </w:rPr>
        <w:t xml:space="preserve"> </w:t>
      </w:r>
      <w:r>
        <w:rPr>
          <w:rFonts w:cs="Times New Roman"/>
          <w:szCs w:val="28"/>
        </w:rPr>
        <w:t xml:space="preserve">maize hybrids, </w:t>
      </w:r>
      <w:r>
        <w:rPr>
          <w:rFonts w:hint="eastAsia" w:cs="Times New Roman"/>
          <w:szCs w:val="28"/>
        </w:rPr>
        <w:t>Crop Journal</w:t>
      </w:r>
      <w:r>
        <w:rPr>
          <w:rFonts w:cs="Times New Roman"/>
          <w:szCs w:val="28"/>
        </w:rPr>
        <w:t xml:space="preserve">, </w:t>
      </w:r>
      <w:r>
        <w:rPr>
          <w:rFonts w:hint="eastAsia" w:cs="Times New Roman"/>
          <w:szCs w:val="28"/>
        </w:rPr>
        <w:t>2022, 10, 582-586</w:t>
      </w:r>
    </w:p>
    <w:p>
      <w:pPr>
        <w:spacing w:line="240" w:lineRule="auto"/>
        <w:ind w:left="560" w:hanging="560" w:hangingChars="200"/>
        <w:rPr>
          <w:szCs w:val="28"/>
        </w:rPr>
      </w:pPr>
      <w:r>
        <w:rPr>
          <w:rFonts w:hint="eastAsia" w:cs="Times New Roman"/>
          <w:szCs w:val="28"/>
        </w:rPr>
        <w:t xml:space="preserve">14 </w:t>
      </w:r>
      <w:r>
        <w:rPr>
          <w:rFonts w:hint="eastAsia"/>
          <w:szCs w:val="28"/>
        </w:rPr>
        <w:t>Bo Li, Xingui Le, Daozhang Min, Lin Xu, Bin Chen*. Mazus danxiacola (Mazaceae), a distinct new species endemic to Danxia landform in Jiangxi Province, eastern China. PhytoKeys 2022，199: 17–28</w:t>
      </w:r>
    </w:p>
    <w:p>
      <w:pPr>
        <w:spacing w:line="240" w:lineRule="auto"/>
        <w:ind w:left="560" w:hanging="560" w:hangingChars="200"/>
        <w:rPr>
          <w:szCs w:val="28"/>
        </w:rPr>
      </w:pPr>
      <w:r>
        <w:rPr>
          <w:rFonts w:hint="eastAsia"/>
          <w:szCs w:val="28"/>
        </w:rPr>
        <w:t>15 Yuting Gou, Zhenhua Zhu, Xinxin Zhou, Yongjun Chen, Bo Li*. The first record of the genus Eskemukerjea (</w:t>
      </w:r>
      <w:r>
        <w:rPr>
          <w:rFonts w:hint="eastAsia"/>
          <w:i/>
          <w:iCs/>
          <w:szCs w:val="28"/>
        </w:rPr>
        <w:t>Polygonaceae</w:t>
      </w:r>
      <w:r>
        <w:rPr>
          <w:rFonts w:hint="eastAsia"/>
          <w:szCs w:val="28"/>
        </w:rPr>
        <w:t>) from China. Phytotaxa, 2022, 577 (1): 139–144</w:t>
      </w:r>
    </w:p>
    <w:p>
      <w:pPr>
        <w:spacing w:line="240" w:lineRule="auto"/>
        <w:ind w:left="560" w:hanging="560" w:hangingChars="200"/>
        <w:rPr>
          <w:szCs w:val="28"/>
        </w:rPr>
      </w:pPr>
      <w:r>
        <w:rPr>
          <w:rFonts w:hint="eastAsia"/>
          <w:szCs w:val="28"/>
        </w:rPr>
        <w:t>16 Fei Zhao, Bing Liu, Su Liu, Daozhang Min, Ting Zhang, Jie Cai, Xinxin Zhou, Bin Chen, Richard G. Olmstead, Chunlei Xiang*, Bo Li*. Disentangling a 40-year-old taxonomic puzzle: systematic position of Mimulicalyx (</w:t>
      </w:r>
      <w:r>
        <w:rPr>
          <w:rFonts w:hint="eastAsia"/>
          <w:i/>
          <w:iCs/>
          <w:szCs w:val="28"/>
        </w:rPr>
        <w:t>Lamiales</w:t>
      </w:r>
      <w:r>
        <w:rPr>
          <w:rFonts w:hint="eastAsia"/>
          <w:szCs w:val="28"/>
        </w:rPr>
        <w:t>). Botanical Journal of the Linnean Society，2022，201 (2): 135–153</w:t>
      </w:r>
    </w:p>
    <w:p>
      <w:pPr>
        <w:spacing w:line="240" w:lineRule="auto"/>
        <w:ind w:left="560" w:hanging="560" w:hangingChars="200"/>
        <w:rPr>
          <w:szCs w:val="28"/>
        </w:rPr>
      </w:pPr>
      <w:r>
        <w:rPr>
          <w:rFonts w:hint="eastAsia"/>
          <w:szCs w:val="28"/>
        </w:rPr>
        <w:t>17 Qiyue Zhou, Huixia Cai, Zihan Liu, Langxing Yuan, Lei Yang, Tuo Yang, Bo Li*, Pan Li*. Development of genomic resources for Wenchengia alternifolia C.Y.Wu &amp; S. Chow (</w:t>
      </w:r>
      <w:r>
        <w:rPr>
          <w:rFonts w:hint="eastAsia"/>
          <w:i/>
          <w:iCs/>
          <w:szCs w:val="28"/>
        </w:rPr>
        <w:t>Lamiaceae</w:t>
      </w:r>
      <w:r>
        <w:rPr>
          <w:rFonts w:hint="eastAsia"/>
          <w:szCs w:val="28"/>
        </w:rPr>
        <w:t xml:space="preserve">) based on genome skimming data. Plant Diversity 44: 542–551, 2022 </w:t>
      </w:r>
    </w:p>
    <w:p>
      <w:pPr>
        <w:pStyle w:val="2"/>
        <w:ind w:firstLine="560"/>
      </w:pPr>
      <w:r>
        <w:rPr>
          <w:rFonts w:hint="eastAsia"/>
        </w:rPr>
        <w:t>●发表中文期刊论文：22篇。</w:t>
      </w:r>
    </w:p>
    <w:p>
      <w:pPr>
        <w:spacing w:line="240" w:lineRule="auto"/>
        <w:ind w:left="560" w:hanging="560" w:hangingChars="200"/>
        <w:rPr>
          <w:szCs w:val="28"/>
        </w:rPr>
      </w:pPr>
      <w:r>
        <w:rPr>
          <w:rFonts w:hint="eastAsia"/>
          <w:szCs w:val="28"/>
        </w:rPr>
        <w:t>1黄国勤，中国南方稻田耕作制度发展的成就、问题及战略对策，华中农业大学学报，2022，41（1）：1-20</w:t>
      </w:r>
    </w:p>
    <w:p>
      <w:pPr>
        <w:spacing w:line="240" w:lineRule="auto"/>
        <w:ind w:left="560" w:hanging="560" w:hangingChars="200"/>
        <w:rPr>
          <w:szCs w:val="28"/>
        </w:rPr>
      </w:pPr>
      <w:r>
        <w:rPr>
          <w:rFonts w:hint="eastAsia"/>
          <w:szCs w:val="28"/>
        </w:rPr>
        <w:t>2黄国勤，中国中部地区粮食生产的成就、问题及高质量发展对策，中国井冈山干部学院学报，2022，15（1）：62-75</w:t>
      </w:r>
    </w:p>
    <w:p>
      <w:pPr>
        <w:spacing w:line="240" w:lineRule="auto"/>
        <w:ind w:left="560" w:hanging="560" w:hangingChars="200"/>
        <w:rPr>
          <w:szCs w:val="28"/>
        </w:rPr>
      </w:pPr>
      <w:r>
        <w:rPr>
          <w:rFonts w:hint="eastAsia"/>
          <w:szCs w:val="28"/>
        </w:rPr>
        <w:t>3崔爱花，余进祥，刘帅，白志刚，胡启星，孙巨龙，黄国勤</w:t>
      </w:r>
      <w:r>
        <w:rPr>
          <w:szCs w:val="28"/>
          <w:vertAlign w:val="superscript"/>
        </w:rPr>
        <w:t>*</w:t>
      </w:r>
      <w:r>
        <w:rPr>
          <w:rFonts w:hint="eastAsia"/>
          <w:szCs w:val="28"/>
        </w:rPr>
        <w:t>，棉花产量和土壤微生物数量及酶活性对棉田间作系统的响应，江苏农业科学，</w:t>
      </w:r>
      <w:r>
        <w:rPr>
          <w:szCs w:val="28"/>
        </w:rPr>
        <w:t>202</w:t>
      </w:r>
      <w:r>
        <w:rPr>
          <w:rFonts w:hint="eastAsia"/>
          <w:szCs w:val="28"/>
        </w:rPr>
        <w:t>2，50（2）：53-58</w:t>
      </w:r>
    </w:p>
    <w:p>
      <w:pPr>
        <w:spacing w:line="240" w:lineRule="auto"/>
        <w:ind w:left="560" w:hanging="560" w:hangingChars="200"/>
        <w:rPr>
          <w:szCs w:val="28"/>
        </w:rPr>
      </w:pPr>
      <w:r>
        <w:rPr>
          <w:rFonts w:hint="eastAsia"/>
          <w:szCs w:val="28"/>
        </w:rPr>
        <w:t>4杨滨娟，邓丽萍，袁嘉欣，胡启良，黄国勤</w:t>
      </w:r>
      <w:r>
        <w:rPr>
          <w:szCs w:val="28"/>
          <w:vertAlign w:val="superscript"/>
        </w:rPr>
        <w:t>*</w:t>
      </w:r>
      <w:r>
        <w:rPr>
          <w:rFonts w:hint="eastAsia"/>
          <w:szCs w:val="28"/>
        </w:rPr>
        <w:t>，稻田复种轮作下周年温室气体排放及综合效益评价，江苏农业科学，</w:t>
      </w:r>
      <w:r>
        <w:rPr>
          <w:szCs w:val="28"/>
        </w:rPr>
        <w:t>202</w:t>
      </w:r>
      <w:r>
        <w:rPr>
          <w:rFonts w:hint="eastAsia"/>
          <w:szCs w:val="28"/>
        </w:rPr>
        <w:t>2，50（2）：225-231</w:t>
      </w:r>
    </w:p>
    <w:p>
      <w:pPr>
        <w:spacing w:line="240" w:lineRule="auto"/>
        <w:ind w:left="560" w:hanging="560" w:hangingChars="200"/>
        <w:rPr>
          <w:szCs w:val="28"/>
        </w:rPr>
      </w:pPr>
      <w:r>
        <w:rPr>
          <w:rFonts w:hint="eastAsia"/>
          <w:szCs w:val="28"/>
        </w:rPr>
        <w:t>5徐慧芳，李淑娟，李娜，黄国勤</w:t>
      </w:r>
      <w:r>
        <w:rPr>
          <w:szCs w:val="28"/>
          <w:vertAlign w:val="superscript"/>
        </w:rPr>
        <w:t>*</w:t>
      </w:r>
      <w:r>
        <w:rPr>
          <w:rFonts w:hint="eastAsia"/>
          <w:szCs w:val="28"/>
        </w:rPr>
        <w:t>，南方红壤丘陵区旱地多熟种植的发展现状与研究进展，生态科学，2022，41（1）：213-221</w:t>
      </w:r>
    </w:p>
    <w:p>
      <w:pPr>
        <w:spacing w:line="240" w:lineRule="auto"/>
        <w:ind w:left="560" w:hanging="560" w:hangingChars="200"/>
        <w:rPr>
          <w:szCs w:val="28"/>
        </w:rPr>
      </w:pPr>
      <w:r>
        <w:rPr>
          <w:rFonts w:hint="eastAsia"/>
          <w:szCs w:val="28"/>
        </w:rPr>
        <w:t>6杨滨娟，李萍，胡启良，黄国勤</w:t>
      </w:r>
      <w:r>
        <w:rPr>
          <w:szCs w:val="28"/>
          <w:vertAlign w:val="superscript"/>
        </w:rPr>
        <w:t>*</w:t>
      </w:r>
      <w:r>
        <w:rPr>
          <w:rFonts w:hint="eastAsia"/>
          <w:szCs w:val="28"/>
        </w:rPr>
        <w:t>，紫云英与油菜混播对稻田土壤N</w:t>
      </w:r>
      <w:r>
        <w:rPr>
          <w:rFonts w:hint="eastAsia"/>
          <w:szCs w:val="28"/>
          <w:vertAlign w:val="subscript"/>
        </w:rPr>
        <w:t>2</w:t>
      </w:r>
      <w:r>
        <w:rPr>
          <w:rFonts w:hint="eastAsia"/>
          <w:szCs w:val="28"/>
        </w:rPr>
        <w:t>O排放及相关功能基因丰度的影响，中国农业科学，</w:t>
      </w:r>
      <w:r>
        <w:rPr>
          <w:szCs w:val="28"/>
        </w:rPr>
        <w:t>202</w:t>
      </w:r>
      <w:r>
        <w:rPr>
          <w:rFonts w:hint="eastAsia"/>
          <w:szCs w:val="28"/>
        </w:rPr>
        <w:t>2，55（4）：743-754</w:t>
      </w:r>
    </w:p>
    <w:p>
      <w:pPr>
        <w:spacing w:line="240" w:lineRule="auto"/>
        <w:ind w:left="560" w:hanging="560" w:hangingChars="200"/>
        <w:rPr>
          <w:szCs w:val="28"/>
        </w:rPr>
      </w:pPr>
      <w:r>
        <w:rPr>
          <w:rFonts w:hint="eastAsia"/>
          <w:szCs w:val="28"/>
        </w:rPr>
        <w:t>7杨文亭，俞霞，龙昌智，朱树伟，鲁美娟，黄国勤</w:t>
      </w:r>
      <w:r>
        <w:rPr>
          <w:szCs w:val="28"/>
          <w:vertAlign w:val="superscript"/>
        </w:rPr>
        <w:t>*</w:t>
      </w:r>
      <w:r>
        <w:rPr>
          <w:rFonts w:hint="eastAsia"/>
          <w:szCs w:val="28"/>
        </w:rPr>
        <w:t>，氮肥种类和油菜秆还田对水稻苗期碳氮累积的影响，生态科学，2022，41（3）：</w:t>
      </w:r>
      <w:r>
        <w:rPr>
          <w:szCs w:val="28"/>
        </w:rPr>
        <w:t>117–123</w:t>
      </w:r>
    </w:p>
    <w:p>
      <w:pPr>
        <w:spacing w:line="240" w:lineRule="auto"/>
        <w:ind w:left="560" w:hanging="560" w:hangingChars="200"/>
        <w:rPr>
          <w:szCs w:val="28"/>
        </w:rPr>
      </w:pPr>
      <w:r>
        <w:rPr>
          <w:rFonts w:hint="eastAsia"/>
          <w:szCs w:val="28"/>
        </w:rPr>
        <w:t>8缪建群，周雪晧，黄国勤</w:t>
      </w:r>
      <w:r>
        <w:rPr>
          <w:szCs w:val="28"/>
        </w:rPr>
        <w:t>*</w:t>
      </w:r>
      <w:r>
        <w:rPr>
          <w:rFonts w:hint="eastAsia"/>
          <w:szCs w:val="28"/>
        </w:rPr>
        <w:t>，基于DEA和障碍度模型的江西省农业生产有效性评价，生态科学，2022，41（3）：172–177</w:t>
      </w:r>
    </w:p>
    <w:p>
      <w:pPr>
        <w:spacing w:line="240" w:lineRule="auto"/>
        <w:ind w:left="560" w:hanging="560" w:hangingChars="200"/>
        <w:rPr>
          <w:szCs w:val="28"/>
        </w:rPr>
      </w:pPr>
      <w:r>
        <w:rPr>
          <w:rFonts w:hint="eastAsia"/>
          <w:szCs w:val="28"/>
        </w:rPr>
        <w:t>9杨滨娟，黄国勤</w:t>
      </w:r>
      <w:r>
        <w:rPr>
          <w:szCs w:val="28"/>
        </w:rPr>
        <w:t>*</w:t>
      </w:r>
      <w:r>
        <w:rPr>
          <w:rFonts w:hint="eastAsia"/>
          <w:szCs w:val="28"/>
        </w:rPr>
        <w:t>，植物种植修复土壤重金属污染的模式、技术与效果综述，生态科学，2022，41（4）：251-256</w:t>
      </w:r>
    </w:p>
    <w:p>
      <w:pPr>
        <w:spacing w:line="240" w:lineRule="auto"/>
        <w:ind w:left="560" w:hanging="560" w:hangingChars="200"/>
        <w:rPr>
          <w:szCs w:val="28"/>
        </w:rPr>
      </w:pPr>
      <w:r>
        <w:rPr>
          <w:rFonts w:hint="eastAsia"/>
          <w:szCs w:val="28"/>
        </w:rPr>
        <w:t>10杨滨娟，李新梅，胡启良，刘宁，黄国勤</w:t>
      </w:r>
      <w:r>
        <w:rPr>
          <w:szCs w:val="28"/>
          <w:vertAlign w:val="superscript"/>
        </w:rPr>
        <w:t>*</w:t>
      </w:r>
      <w:r>
        <w:rPr>
          <w:rFonts w:hint="eastAsia"/>
          <w:szCs w:val="28"/>
        </w:rPr>
        <w:t>，长江中游不同复种轮作模式的资源利用率及综合效益比较，中国生态农业学报（中英文），2022，30（9）：1501-1510</w:t>
      </w:r>
    </w:p>
    <w:p>
      <w:pPr>
        <w:spacing w:line="240" w:lineRule="auto"/>
        <w:ind w:left="560" w:hanging="560" w:hangingChars="200"/>
        <w:rPr>
          <w:szCs w:val="28"/>
        </w:rPr>
      </w:pPr>
      <w:r>
        <w:rPr>
          <w:rFonts w:hint="eastAsia"/>
          <w:szCs w:val="28"/>
        </w:rPr>
        <w:t>11黄国勤，稻田耕作学理论与实践，华中农业大学学报，2022，41（6）：1-15</w:t>
      </w:r>
    </w:p>
    <w:p>
      <w:pPr>
        <w:spacing w:line="240" w:lineRule="auto"/>
        <w:ind w:left="560" w:hanging="560" w:hangingChars="200"/>
        <w:rPr>
          <w:szCs w:val="28"/>
        </w:rPr>
      </w:pPr>
      <w:r>
        <w:rPr>
          <w:rFonts w:hint="eastAsia"/>
          <w:szCs w:val="28"/>
        </w:rPr>
        <w:t>12胡启良，杨滨娟，刘宁，黄国勤</w:t>
      </w:r>
      <w:r>
        <w:rPr>
          <w:szCs w:val="28"/>
          <w:vertAlign w:val="superscript"/>
        </w:rPr>
        <w:t>*</w:t>
      </w:r>
      <w:r>
        <w:rPr>
          <w:rFonts w:hint="eastAsia"/>
          <w:szCs w:val="28"/>
        </w:rPr>
        <w:t>，绿肥混播下不同施氮量对水稻产量、土壤碳氮和微生物群落的影响，华中农业大学学报，2022，41（6）：16-26</w:t>
      </w:r>
    </w:p>
    <w:p>
      <w:pPr>
        <w:spacing w:line="240" w:lineRule="auto"/>
        <w:ind w:left="560" w:hanging="560" w:hangingChars="200"/>
        <w:rPr>
          <w:szCs w:val="28"/>
        </w:rPr>
      </w:pPr>
      <w:r>
        <w:rPr>
          <w:rFonts w:hint="eastAsia"/>
          <w:szCs w:val="28"/>
        </w:rPr>
        <w:t>13张立进，巢思琴，鲁梦珍，黄国勤</w:t>
      </w:r>
      <w:r>
        <w:rPr>
          <w:szCs w:val="28"/>
          <w:vertAlign w:val="superscript"/>
        </w:rPr>
        <w:t>*</w:t>
      </w:r>
      <w:r>
        <w:rPr>
          <w:rFonts w:hint="eastAsia"/>
          <w:szCs w:val="28"/>
        </w:rPr>
        <w:t>，钱国明，夏立明，盛金科，优化施肥对油菜-水稻复种系统作物产量及氮磷流失的影响，华中农业大学学报，2022，41（6）：27-34</w:t>
      </w:r>
    </w:p>
    <w:p>
      <w:pPr>
        <w:spacing w:line="240" w:lineRule="auto"/>
        <w:ind w:left="560" w:hanging="560" w:hangingChars="200"/>
        <w:rPr>
          <w:szCs w:val="28"/>
        </w:rPr>
      </w:pPr>
      <w:r>
        <w:rPr>
          <w:rFonts w:hint="eastAsia"/>
          <w:szCs w:val="28"/>
        </w:rPr>
        <w:t>14徐慧芳，万子维，盛荣，魏文学，张文钊</w:t>
      </w:r>
      <w:r>
        <w:rPr>
          <w:szCs w:val="28"/>
          <w:vertAlign w:val="superscript"/>
        </w:rPr>
        <w:t>*</w:t>
      </w:r>
      <w:r>
        <w:rPr>
          <w:rFonts w:hint="eastAsia"/>
          <w:szCs w:val="28"/>
        </w:rPr>
        <w:t>，黄国勤</w:t>
      </w:r>
      <w:r>
        <w:rPr>
          <w:szCs w:val="28"/>
          <w:vertAlign w:val="superscript"/>
        </w:rPr>
        <w:t>*</w:t>
      </w:r>
      <w:r>
        <w:rPr>
          <w:rFonts w:hint="eastAsia"/>
          <w:szCs w:val="28"/>
        </w:rPr>
        <w:t>，不同耕作模式对稻田土壤真菌丰度及群落结构的影响，华中农业大学学报，2022，41（6）：35-41</w:t>
      </w:r>
    </w:p>
    <w:p>
      <w:pPr>
        <w:spacing w:line="240" w:lineRule="auto"/>
        <w:ind w:left="560" w:hanging="560" w:hangingChars="200"/>
        <w:rPr>
          <w:szCs w:val="28"/>
        </w:rPr>
      </w:pPr>
      <w:r>
        <w:rPr>
          <w:rFonts w:hint="eastAsia"/>
          <w:szCs w:val="28"/>
        </w:rPr>
        <w:t>15李娜，徐慧芳，黄国勤</w:t>
      </w:r>
      <w:r>
        <w:rPr>
          <w:szCs w:val="28"/>
          <w:vertAlign w:val="superscript"/>
        </w:rPr>
        <w:t>*</w:t>
      </w:r>
      <w:r>
        <w:rPr>
          <w:rFonts w:hint="eastAsia"/>
          <w:szCs w:val="28"/>
        </w:rPr>
        <w:t>，稻田不同轮作休耕模式下土壤反硝化功能基因群落结构，华中农业大学学报，2022，41（6）：42-50</w:t>
      </w:r>
    </w:p>
    <w:p>
      <w:pPr>
        <w:spacing w:line="240" w:lineRule="auto"/>
        <w:ind w:left="560" w:hanging="560" w:hangingChars="200"/>
        <w:rPr>
          <w:szCs w:val="28"/>
        </w:rPr>
      </w:pPr>
      <w:r>
        <w:rPr>
          <w:rFonts w:hint="eastAsia"/>
          <w:szCs w:val="28"/>
        </w:rPr>
        <w:t>16杨滨娟，李新梅，胡启良，刘宁，黄国勤</w:t>
      </w:r>
      <w:r>
        <w:rPr>
          <w:szCs w:val="28"/>
          <w:vertAlign w:val="superscript"/>
        </w:rPr>
        <w:t>*</w:t>
      </w:r>
      <w:r>
        <w:rPr>
          <w:rFonts w:hint="eastAsia"/>
          <w:szCs w:val="28"/>
        </w:rPr>
        <w:t>，不同轮作休耕模式对稻田土壤有机碳及其组分的影响，华中农业大学学报，2022，41（6）：51-58</w:t>
      </w:r>
    </w:p>
    <w:p>
      <w:pPr>
        <w:spacing w:line="240" w:lineRule="auto"/>
        <w:ind w:left="560" w:hanging="560" w:hangingChars="200"/>
        <w:rPr>
          <w:szCs w:val="28"/>
        </w:rPr>
      </w:pPr>
      <w:r>
        <w:rPr>
          <w:rFonts w:hint="eastAsia"/>
          <w:szCs w:val="28"/>
        </w:rPr>
        <w:t>17杨滨娟，袁嘉欣，胡启良，刘宁，黄瑶，黄国勤</w:t>
      </w:r>
      <w:r>
        <w:rPr>
          <w:szCs w:val="28"/>
          <w:vertAlign w:val="superscript"/>
        </w:rPr>
        <w:t>*</w:t>
      </w:r>
      <w:r>
        <w:rPr>
          <w:rFonts w:hint="eastAsia"/>
          <w:szCs w:val="28"/>
        </w:rPr>
        <w:t>，长江中游典型稻田种植模式的资源利用率及综合效益，华中农业大学学报，2022，41（6）：79-88</w:t>
      </w:r>
    </w:p>
    <w:p>
      <w:pPr>
        <w:spacing w:line="240" w:lineRule="auto"/>
        <w:ind w:left="560" w:hanging="560" w:hangingChars="200"/>
        <w:rPr>
          <w:szCs w:val="28"/>
        </w:rPr>
      </w:pPr>
      <w:r>
        <w:rPr>
          <w:rFonts w:hint="eastAsia"/>
          <w:szCs w:val="28"/>
        </w:rPr>
        <w:t>18王志强，唐海鹰，闻熠，肖涛，缪建群，杨文亭，杨滨娟，周泉，黄国勤</w:t>
      </w:r>
      <w:r>
        <w:rPr>
          <w:szCs w:val="28"/>
          <w:vertAlign w:val="superscript"/>
        </w:rPr>
        <w:t>*</w:t>
      </w:r>
      <w:r>
        <w:rPr>
          <w:rFonts w:hint="eastAsia"/>
          <w:szCs w:val="28"/>
        </w:rPr>
        <w:t>，长江中游地区稻田生态系统服务功能价值评估研究进展，华中农业大学学报，2022，41（6）：89-100</w:t>
      </w:r>
    </w:p>
    <w:p>
      <w:pPr>
        <w:spacing w:line="240" w:lineRule="auto"/>
        <w:ind w:left="560" w:hanging="560" w:hangingChars="200"/>
        <w:rPr>
          <w:szCs w:val="28"/>
        </w:rPr>
      </w:pPr>
      <w:r>
        <w:rPr>
          <w:rFonts w:hint="eastAsia"/>
          <w:szCs w:val="28"/>
        </w:rPr>
        <w:t>19郭树健，李淑娟，李娜，黄国勤</w:t>
      </w:r>
      <w:r>
        <w:rPr>
          <w:szCs w:val="28"/>
          <w:vertAlign w:val="superscript"/>
        </w:rPr>
        <w:t>*</w:t>
      </w:r>
      <w:r>
        <w:rPr>
          <w:rFonts w:hint="eastAsia"/>
          <w:szCs w:val="28"/>
        </w:rPr>
        <w:t>，红壤旱地以玉米为主体的不同种植模式对土壤碳库管理指数的影响，华中农业大学学报，2022，41（6）：128-136</w:t>
      </w:r>
    </w:p>
    <w:p>
      <w:pPr>
        <w:spacing w:line="240" w:lineRule="auto"/>
        <w:ind w:left="560" w:hanging="560" w:hangingChars="200"/>
        <w:rPr>
          <w:szCs w:val="28"/>
        </w:rPr>
      </w:pPr>
      <w:r>
        <w:rPr>
          <w:rFonts w:hint="eastAsia"/>
          <w:szCs w:val="28"/>
        </w:rPr>
        <w:t>20万子维，李娜，黄国勤，徐慧芳</w:t>
      </w:r>
      <w:r>
        <w:rPr>
          <w:rFonts w:hint="eastAsia"/>
          <w:szCs w:val="28"/>
          <w:vertAlign w:val="superscript"/>
        </w:rPr>
        <w:t>*</w:t>
      </w:r>
      <w:r>
        <w:rPr>
          <w:rFonts w:hint="eastAsia"/>
          <w:szCs w:val="28"/>
        </w:rPr>
        <w:t>，施肥处理对旱地红壤反硝化潜势的影响，华中农业大学学报，2022，41（6）：137-142</w:t>
      </w:r>
    </w:p>
    <w:p>
      <w:pPr>
        <w:spacing w:line="240" w:lineRule="auto"/>
        <w:ind w:left="560" w:hanging="560" w:hangingChars="200"/>
        <w:rPr>
          <w:szCs w:val="28"/>
        </w:rPr>
      </w:pPr>
      <w:r>
        <w:rPr>
          <w:rFonts w:hint="eastAsia"/>
          <w:szCs w:val="28"/>
        </w:rPr>
        <w:t>21寄玲，谢宜飞，李中阳，许廷晨，杨波*，李波*，江西省野生维管植物名录，生物多样性，30（6）：22057，2022</w:t>
      </w:r>
    </w:p>
    <w:p>
      <w:pPr>
        <w:spacing w:line="240" w:lineRule="auto"/>
        <w:ind w:left="560" w:hanging="560" w:hangingChars="200"/>
        <w:rPr>
          <w:rFonts w:cs="Times New Roman"/>
          <w:szCs w:val="28"/>
        </w:rPr>
      </w:pPr>
      <w:r>
        <w:rPr>
          <w:rFonts w:hint="eastAsia"/>
          <w:szCs w:val="28"/>
        </w:rPr>
        <w:t>22黄存忠，苟玉婷，李波*，武功山蓼—湖南省蓼科新记录，江西科学，2022，40（2）：270–271</w:t>
      </w:r>
    </w:p>
    <w:p>
      <w:pPr>
        <w:pStyle w:val="2"/>
        <w:ind w:firstLine="560"/>
        <w:rPr>
          <w:szCs w:val="28"/>
        </w:rPr>
      </w:pPr>
      <w:r>
        <w:rPr>
          <w:rFonts w:hint="eastAsia"/>
          <w:szCs w:val="28"/>
        </w:rPr>
        <w:t>4.2 学位点本年度获批科研项目</w:t>
      </w:r>
    </w:p>
    <w:p>
      <w:pPr>
        <w:ind w:firstLine="560" w:firstLineChars="200"/>
        <w:rPr>
          <w:szCs w:val="28"/>
        </w:rPr>
      </w:pPr>
      <w:r>
        <w:rPr>
          <w:rFonts w:hint="eastAsia"/>
          <w:szCs w:val="28"/>
        </w:rPr>
        <w:t>学位点2</w:t>
      </w:r>
      <w:r>
        <w:rPr>
          <w:szCs w:val="28"/>
        </w:rPr>
        <w:t>02</w:t>
      </w:r>
      <w:r>
        <w:rPr>
          <w:rFonts w:hint="eastAsia"/>
          <w:szCs w:val="28"/>
        </w:rPr>
        <w:t>2年新立项科研项目9项，其中：国家自然科学基金地区项目3项，江西省自然科学基金项目1项，江西省生态文明研究院委托课题2项，研究生创新基金项目3项目。</w:t>
      </w:r>
    </w:p>
    <w:p>
      <w:pPr>
        <w:ind w:firstLine="619"/>
        <w:rPr>
          <w:szCs w:val="28"/>
        </w:rPr>
      </w:pPr>
      <w:r>
        <w:rPr>
          <w:rFonts w:hint="eastAsia"/>
          <w:szCs w:val="28"/>
        </w:rPr>
        <w:t>（1）国家自然科学基金地区基金，十字花科豆科间作体系土壤有机碳周转的微生物调控机</w:t>
      </w:r>
      <w:r>
        <w:rPr>
          <w:szCs w:val="28"/>
        </w:rPr>
        <w:t>制</w:t>
      </w:r>
      <w:r>
        <w:rPr>
          <w:rFonts w:hint="eastAsia"/>
          <w:szCs w:val="28"/>
        </w:rPr>
        <w:t>（32260548），周泉，202301-202612，33万元；</w:t>
      </w:r>
    </w:p>
    <w:p>
      <w:pPr>
        <w:ind w:firstLine="619"/>
        <w:rPr>
          <w:szCs w:val="28"/>
        </w:rPr>
      </w:pPr>
      <w:r>
        <w:rPr>
          <w:rFonts w:hint="eastAsia"/>
          <w:szCs w:val="28"/>
        </w:rPr>
        <w:t>（2）国家自然科学基金地区基金，中国鼠李属（Rhamnus）的分类学研究（32260048），阳亿，202301-202612，33万元；</w:t>
      </w:r>
    </w:p>
    <w:p>
      <w:pPr>
        <w:ind w:firstLine="619"/>
        <w:rPr>
          <w:szCs w:val="28"/>
        </w:rPr>
      </w:pPr>
      <w:r>
        <w:rPr>
          <w:rFonts w:hint="eastAsia"/>
          <w:szCs w:val="28"/>
        </w:rPr>
        <w:t>（3）国家自然科学基金地区基金，人工选择作用对水稻驯化过程中全基因组表达调控变异的影响（32260058），王美霞，202301-202612，33万元；</w:t>
      </w:r>
    </w:p>
    <w:p>
      <w:pPr>
        <w:ind w:firstLine="619"/>
        <w:rPr>
          <w:szCs w:val="28"/>
        </w:rPr>
      </w:pPr>
      <w:r>
        <w:rPr>
          <w:rFonts w:hint="eastAsia"/>
          <w:szCs w:val="28"/>
        </w:rPr>
        <w:t>（4）江西省自然科学基金面上项目，黑麦草氮释放与下茬甜玉米和大豆氮吸收协同效应研究（20224BAB205019），杨文亭，202301-202512，10万元；</w:t>
      </w:r>
    </w:p>
    <w:p>
      <w:pPr>
        <w:pStyle w:val="2"/>
        <w:ind w:firstLine="560"/>
        <w:rPr>
          <w:rFonts w:ascii="Times New Roman" w:hAnsi="Times New Roman" w:eastAsia="宋体"/>
          <w:color w:val="auto"/>
          <w:szCs w:val="28"/>
        </w:rPr>
      </w:pPr>
      <w:r>
        <w:rPr>
          <w:rFonts w:hint="eastAsia" w:ascii="Times New Roman" w:hAnsi="Times New Roman" w:eastAsia="宋体"/>
          <w:color w:val="auto"/>
          <w:szCs w:val="28"/>
        </w:rPr>
        <w:t>（5）江西省生态文明研究院委托课题，农业绿色低碳发展的理论与政策体系研究，黄国勤，2022 11-2022 12，5.00万元</w:t>
      </w:r>
      <w:r>
        <w:rPr>
          <w:rFonts w:hint="eastAsia"/>
          <w:szCs w:val="28"/>
        </w:rPr>
        <w:t>；</w:t>
      </w:r>
    </w:p>
    <w:p>
      <w:pPr>
        <w:pStyle w:val="2"/>
        <w:ind w:firstLine="560"/>
        <w:rPr>
          <w:szCs w:val="28"/>
        </w:rPr>
      </w:pPr>
      <w:r>
        <w:rPr>
          <w:rFonts w:hint="eastAsia" w:ascii="Times New Roman" w:hAnsi="Times New Roman" w:eastAsia="宋体"/>
          <w:color w:val="auto"/>
          <w:szCs w:val="28"/>
        </w:rPr>
        <w:t>（6）江西省生态文明研究院委托课题，国内外农业绿色低碳发展典型案例研究，黄国勤，2022 11-2022 12，5.00万元</w:t>
      </w:r>
      <w:r>
        <w:rPr>
          <w:rFonts w:hint="eastAsia"/>
          <w:szCs w:val="28"/>
        </w:rPr>
        <w:t>；</w:t>
      </w:r>
    </w:p>
    <w:p>
      <w:pPr>
        <w:ind w:firstLine="619"/>
      </w:pPr>
      <w:r>
        <w:rPr>
          <w:rFonts w:hint="eastAsia"/>
        </w:rPr>
        <w:t>（7）农田作物多样性系统中土壤有机碳积累的驱动因素——基于meta分析，2022年江西省研究生创新专项资金项目，李淑娟， 202206-202306，0.5</w:t>
      </w:r>
      <w:r>
        <w:rPr>
          <w:rFonts w:hint="eastAsia"/>
          <w:szCs w:val="28"/>
        </w:rPr>
        <w:t>万元；</w:t>
      </w:r>
    </w:p>
    <w:p>
      <w:pPr>
        <w:ind w:firstLine="619"/>
      </w:pPr>
      <w:r>
        <w:rPr>
          <w:rFonts w:hint="eastAsia"/>
        </w:rPr>
        <w:t>（8）紫云英油菜混播与减氮对双季稻田土壤微生物量及温室气体排放的影响，黄瑶，202206-202306，0.5</w:t>
      </w:r>
      <w:r>
        <w:rPr>
          <w:rFonts w:hint="eastAsia"/>
          <w:szCs w:val="28"/>
        </w:rPr>
        <w:t>万元；</w:t>
      </w:r>
    </w:p>
    <w:p>
      <w:pPr>
        <w:ind w:firstLine="619"/>
        <w:rPr>
          <w:szCs w:val="28"/>
        </w:rPr>
      </w:pPr>
      <w:r>
        <w:rPr>
          <w:rFonts w:hint="eastAsia"/>
        </w:rPr>
        <w:t>（9）不同施肥措施对旱地红壤反硝化潜势的影响研究，万子维，，202206-202306，0.5</w:t>
      </w:r>
      <w:r>
        <w:rPr>
          <w:rFonts w:hint="eastAsia"/>
          <w:szCs w:val="28"/>
        </w:rPr>
        <w:t>万元。</w:t>
      </w:r>
    </w:p>
    <w:p>
      <w:pPr>
        <w:pStyle w:val="2"/>
        <w:ind w:firstLine="560"/>
      </w:pPr>
      <w:r>
        <w:rPr>
          <w:rFonts w:hint="eastAsia"/>
          <w:szCs w:val="28"/>
        </w:rPr>
        <w:t>4.3 学位点本年度获奖情况</w:t>
      </w:r>
    </w:p>
    <w:p>
      <w:pPr>
        <w:ind w:firstLine="619"/>
      </w:pPr>
      <w:r>
        <w:rPr>
          <w:rFonts w:hint="eastAsia"/>
        </w:rPr>
        <w:t>黄国勤撰写的《习近平生态文明思想研究》一文，入选大型文献史册《党的建设与思想政治工作优秀成果汇编》中，并在年度评审中，被党的基层建设与思想政治工作成果汇编编委会、中国历史唯物主义学会育人用人科学专业委员会评为“</w:t>
      </w:r>
      <w:r>
        <w:rPr>
          <w:rFonts w:hint="eastAsia"/>
          <w:b/>
        </w:rPr>
        <w:t>优秀理论成果特等奖</w:t>
      </w:r>
      <w:r>
        <w:rPr>
          <w:rFonts w:hint="eastAsia"/>
        </w:rPr>
        <w:t>”，党的基层建设与思想政治工作成果汇编编委会、中国历史唯物主义学会育人用人科学专业委员会，2022年4月30日</w:t>
      </w:r>
    </w:p>
    <w:p>
      <w:pPr>
        <w:pStyle w:val="2"/>
        <w:spacing w:line="560" w:lineRule="exact"/>
        <w:ind w:firstLine="562"/>
        <w:rPr>
          <w:rFonts w:ascii="Times New Roman" w:hAnsi="Times New Roman" w:eastAsia="宋体" w:cs="宋体"/>
          <w:b/>
          <w:bCs/>
          <w:szCs w:val="28"/>
        </w:rPr>
      </w:pPr>
      <w:r>
        <w:rPr>
          <w:rFonts w:hint="eastAsia" w:ascii="Times New Roman" w:hAnsi="Times New Roman" w:eastAsia="宋体" w:cs="宋体"/>
          <w:b/>
          <w:bCs/>
          <w:szCs w:val="28"/>
        </w:rPr>
        <w:t>5.奖助体系</w:t>
      </w:r>
    </w:p>
    <w:p>
      <w:pPr>
        <w:spacing w:line="360" w:lineRule="auto"/>
        <w:ind w:firstLine="560" w:firstLineChars="200"/>
        <w:rPr>
          <w:szCs w:val="28"/>
        </w:rPr>
      </w:pPr>
      <w:r>
        <w:rPr>
          <w:szCs w:val="28"/>
        </w:rPr>
        <w:t>江西农业大学建立了完备的研究生奖助体系制度</w:t>
      </w:r>
      <w:r>
        <w:rPr>
          <w:rFonts w:hint="eastAsia"/>
          <w:szCs w:val="28"/>
        </w:rPr>
        <w:t>，制定了《江西农业大学国家助学金管理办法》（赣农大研发[2014]13号）、《江西农业大学研究生奖学金实施办法》（赣农大研发[2014]14号）、《江西农业大学研究生困难补助实施办法(试行)》（赣农大发[2011]33号）等多项管理制度，各学院配套出台各类奖学金评选实施细则，规范奖助学金评选程序。</w:t>
      </w:r>
    </w:p>
    <w:p>
      <w:pPr>
        <w:spacing w:line="360" w:lineRule="auto"/>
        <w:ind w:firstLine="560" w:firstLineChars="200"/>
        <w:rPr>
          <w:szCs w:val="28"/>
        </w:rPr>
      </w:pPr>
      <w:r>
        <w:rPr>
          <w:szCs w:val="28"/>
        </w:rPr>
        <w:t>研究生奖助体系由研究生奖学金、助学金两部分组成。研究生奖学金包括国家奖学金</w:t>
      </w:r>
      <w:r>
        <w:rPr>
          <w:rFonts w:hint="eastAsia"/>
          <w:szCs w:val="28"/>
        </w:rPr>
        <w:t>（博士</w:t>
      </w:r>
      <w:r>
        <w:rPr>
          <w:szCs w:val="28"/>
        </w:rPr>
        <w:t>研究生30000元</w:t>
      </w:r>
      <w:r>
        <w:rPr>
          <w:rFonts w:hint="eastAsia"/>
          <w:szCs w:val="28"/>
        </w:rPr>
        <w:t>，</w:t>
      </w:r>
      <w:r>
        <w:rPr>
          <w:szCs w:val="28"/>
        </w:rPr>
        <w:t>硕士研究生20000元</w:t>
      </w:r>
      <w:r>
        <w:rPr>
          <w:rFonts w:hint="eastAsia"/>
          <w:szCs w:val="28"/>
        </w:rPr>
        <w:t>）</w:t>
      </w:r>
      <w:r>
        <w:rPr>
          <w:szCs w:val="28"/>
        </w:rPr>
        <w:t>、江西省政府奖学金</w:t>
      </w:r>
      <w:r>
        <w:rPr>
          <w:rFonts w:hint="eastAsia"/>
          <w:szCs w:val="28"/>
        </w:rPr>
        <w:t>（博士</w:t>
      </w:r>
      <w:r>
        <w:rPr>
          <w:szCs w:val="28"/>
        </w:rPr>
        <w:t>研究生</w:t>
      </w:r>
      <w:r>
        <w:rPr>
          <w:rFonts w:hint="eastAsia"/>
          <w:szCs w:val="28"/>
        </w:rPr>
        <w:t>2</w:t>
      </w:r>
      <w:r>
        <w:rPr>
          <w:szCs w:val="28"/>
        </w:rPr>
        <w:t>0000元</w:t>
      </w:r>
      <w:r>
        <w:rPr>
          <w:rFonts w:hint="eastAsia"/>
          <w:szCs w:val="28"/>
        </w:rPr>
        <w:t>，</w:t>
      </w:r>
      <w:r>
        <w:rPr>
          <w:szCs w:val="28"/>
        </w:rPr>
        <w:t>硕士研究生 10000元</w:t>
      </w:r>
      <w:r>
        <w:rPr>
          <w:rFonts w:hint="eastAsia"/>
          <w:szCs w:val="28"/>
        </w:rPr>
        <w:t>）、</w:t>
      </w:r>
      <w:r>
        <w:rPr>
          <w:szCs w:val="28"/>
        </w:rPr>
        <w:t>学业奖学金</w:t>
      </w:r>
      <w:r>
        <w:rPr>
          <w:rFonts w:hint="eastAsia"/>
          <w:szCs w:val="28"/>
        </w:rPr>
        <w:t>：江西省研究生学业奖学金（博士研究生1</w:t>
      </w:r>
      <w:r>
        <w:rPr>
          <w:szCs w:val="28"/>
        </w:rPr>
        <w:t>0000元</w:t>
      </w:r>
      <w:r>
        <w:rPr>
          <w:rFonts w:hint="eastAsia"/>
          <w:szCs w:val="28"/>
        </w:rPr>
        <w:t>/年，</w:t>
      </w:r>
      <w:r>
        <w:rPr>
          <w:szCs w:val="28"/>
        </w:rPr>
        <w:t>硕士研究生</w:t>
      </w:r>
      <w:r>
        <w:rPr>
          <w:rFonts w:hint="eastAsia"/>
          <w:szCs w:val="28"/>
        </w:rPr>
        <w:t>8</w:t>
      </w:r>
      <w:r>
        <w:rPr>
          <w:szCs w:val="28"/>
        </w:rPr>
        <w:t>000元</w:t>
      </w:r>
      <w:r>
        <w:rPr>
          <w:rFonts w:hint="eastAsia"/>
          <w:szCs w:val="28"/>
        </w:rPr>
        <w:t>/年，评奖名额占学生人数4</w:t>
      </w:r>
      <w:r>
        <w:rPr>
          <w:szCs w:val="28"/>
        </w:rPr>
        <w:t>0</w:t>
      </w:r>
      <w:r>
        <w:rPr>
          <w:rFonts w:hint="eastAsia"/>
          <w:szCs w:val="28"/>
        </w:rPr>
        <w:t>%），江西农业大学研究生奖学金（一等5</w:t>
      </w:r>
      <w:r>
        <w:rPr>
          <w:szCs w:val="28"/>
        </w:rPr>
        <w:t>000元</w:t>
      </w:r>
      <w:r>
        <w:rPr>
          <w:rFonts w:hint="eastAsia"/>
          <w:szCs w:val="28"/>
        </w:rPr>
        <w:t>，</w:t>
      </w:r>
      <w:r>
        <w:rPr>
          <w:szCs w:val="28"/>
        </w:rPr>
        <w:t>二等</w:t>
      </w:r>
      <w:r>
        <w:rPr>
          <w:rFonts w:hint="eastAsia"/>
          <w:szCs w:val="28"/>
        </w:rPr>
        <w:t>4</w:t>
      </w:r>
      <w:r>
        <w:rPr>
          <w:szCs w:val="28"/>
        </w:rPr>
        <w:t>000元</w:t>
      </w:r>
      <w:r>
        <w:rPr>
          <w:rFonts w:hint="eastAsia"/>
          <w:szCs w:val="28"/>
        </w:rPr>
        <w:t>，</w:t>
      </w:r>
      <w:r>
        <w:rPr>
          <w:szCs w:val="28"/>
        </w:rPr>
        <w:t>三等</w:t>
      </w:r>
      <w:r>
        <w:rPr>
          <w:rFonts w:hint="eastAsia"/>
          <w:szCs w:val="28"/>
        </w:rPr>
        <w:t>3</w:t>
      </w:r>
      <w:r>
        <w:rPr>
          <w:szCs w:val="28"/>
        </w:rPr>
        <w:t>000元</w:t>
      </w:r>
      <w:r>
        <w:rPr>
          <w:rFonts w:hint="eastAsia"/>
          <w:szCs w:val="28"/>
        </w:rPr>
        <w:t>；评奖名额占学生人数</w:t>
      </w:r>
      <w:r>
        <w:rPr>
          <w:szCs w:val="28"/>
        </w:rPr>
        <w:t>60</w:t>
      </w:r>
      <w:r>
        <w:rPr>
          <w:rFonts w:hint="eastAsia"/>
          <w:szCs w:val="28"/>
        </w:rPr>
        <w:t>%）、新生入学奖学金（一志愿考生及推免生</w:t>
      </w:r>
      <w:r>
        <w:rPr>
          <w:szCs w:val="28"/>
        </w:rPr>
        <w:t>可获取</w:t>
      </w:r>
      <w:r>
        <w:rPr>
          <w:rFonts w:hint="eastAsia"/>
          <w:szCs w:val="28"/>
        </w:rPr>
        <w:t>10</w:t>
      </w:r>
      <w:r>
        <w:rPr>
          <w:szCs w:val="28"/>
        </w:rPr>
        <w:t>000元</w:t>
      </w:r>
      <w:r>
        <w:rPr>
          <w:rFonts w:hint="eastAsia"/>
          <w:szCs w:val="28"/>
        </w:rPr>
        <w:t>）</w:t>
      </w:r>
      <w:r>
        <w:rPr>
          <w:szCs w:val="28"/>
        </w:rPr>
        <w:t>；研究生助学金包括国家助学金</w:t>
      </w:r>
      <w:r>
        <w:rPr>
          <w:rFonts w:hint="eastAsia"/>
          <w:szCs w:val="28"/>
        </w:rPr>
        <w:t>（覆盖面1</w:t>
      </w:r>
      <w:r>
        <w:rPr>
          <w:szCs w:val="28"/>
        </w:rPr>
        <w:t>00</w:t>
      </w:r>
      <w:r>
        <w:rPr>
          <w:rFonts w:hint="eastAsia"/>
          <w:szCs w:val="28"/>
        </w:rPr>
        <w:t>%，博士</w:t>
      </w:r>
      <w:r>
        <w:rPr>
          <w:szCs w:val="28"/>
        </w:rPr>
        <w:t>研究生</w:t>
      </w:r>
      <w:r>
        <w:rPr>
          <w:rFonts w:hint="eastAsia"/>
          <w:szCs w:val="28"/>
        </w:rPr>
        <w:t>1</w:t>
      </w:r>
      <w:r>
        <w:rPr>
          <w:szCs w:val="28"/>
        </w:rPr>
        <w:t>3000元</w:t>
      </w:r>
      <w:r>
        <w:rPr>
          <w:rFonts w:hint="eastAsia"/>
          <w:szCs w:val="28"/>
        </w:rPr>
        <w:t>/</w:t>
      </w:r>
      <w:r>
        <w:rPr>
          <w:szCs w:val="28"/>
        </w:rPr>
        <w:t>年</w:t>
      </w:r>
      <w:r>
        <w:rPr>
          <w:rFonts w:hint="eastAsia"/>
          <w:szCs w:val="28"/>
        </w:rPr>
        <w:t>，</w:t>
      </w:r>
      <w:r>
        <w:rPr>
          <w:szCs w:val="28"/>
        </w:rPr>
        <w:t>硕士研究生</w:t>
      </w:r>
      <w:r>
        <w:rPr>
          <w:rFonts w:hint="eastAsia"/>
          <w:szCs w:val="28"/>
        </w:rPr>
        <w:t>6</w:t>
      </w:r>
      <w:r>
        <w:rPr>
          <w:szCs w:val="28"/>
        </w:rPr>
        <w:t>000元</w:t>
      </w:r>
      <w:r>
        <w:rPr>
          <w:rFonts w:hint="eastAsia"/>
          <w:szCs w:val="28"/>
        </w:rPr>
        <w:t>/年），贫困助学金（5</w:t>
      </w:r>
      <w:r>
        <w:rPr>
          <w:szCs w:val="28"/>
        </w:rPr>
        <w:t>00元</w:t>
      </w:r>
      <w:r>
        <w:rPr>
          <w:rFonts w:hint="eastAsia"/>
          <w:szCs w:val="28"/>
        </w:rPr>
        <w:t>/学期）</w:t>
      </w:r>
      <w:r>
        <w:rPr>
          <w:szCs w:val="28"/>
        </w:rPr>
        <w:t>。</w:t>
      </w:r>
      <w:r>
        <w:rPr>
          <w:rFonts w:hint="eastAsia"/>
          <w:szCs w:val="28"/>
        </w:rPr>
        <w:t>在校研究生可申请、办理生源地信用助学贷款，贷款额度为每生每年</w:t>
      </w:r>
      <w:r>
        <w:rPr>
          <w:szCs w:val="28"/>
        </w:rPr>
        <w:t>6000-12000</w:t>
      </w:r>
      <w:r>
        <w:rPr>
          <w:rFonts w:hint="eastAsia"/>
          <w:szCs w:val="28"/>
        </w:rPr>
        <w:t>元。学校对符合条件的困难毕业研究生提供一次性求职补贴，学生可在其毕业年度内可享受一次性求职补贴。</w:t>
      </w:r>
    </w:p>
    <w:p>
      <w:pPr>
        <w:spacing w:line="360" w:lineRule="auto"/>
        <w:ind w:firstLine="560" w:firstLineChars="200"/>
        <w:rPr>
          <w:szCs w:val="28"/>
        </w:rPr>
      </w:pPr>
      <w:r>
        <w:rPr>
          <w:rFonts w:hint="eastAsia"/>
          <w:szCs w:val="28"/>
        </w:rPr>
        <w:t>研究生参与导师科研项目可获得300-1000元/月的助研津贴。研究生还可申请新生兼职辅导员，获5</w:t>
      </w:r>
      <w:r>
        <w:rPr>
          <w:szCs w:val="28"/>
        </w:rPr>
        <w:t>00</w:t>
      </w:r>
      <w:r>
        <w:rPr>
          <w:rFonts w:hint="eastAsia"/>
          <w:szCs w:val="28"/>
        </w:rPr>
        <w:t>元/月的助管津贴。此外，研究生可凭科研业绩申请企业奖学金——作物学“大北农创新人才培养奖学金”（博士研究生</w:t>
      </w:r>
      <w:r>
        <w:rPr>
          <w:szCs w:val="28"/>
        </w:rPr>
        <w:t>8000</w:t>
      </w:r>
      <w:r>
        <w:rPr>
          <w:rFonts w:hint="eastAsia"/>
          <w:szCs w:val="28"/>
        </w:rPr>
        <w:t>元/年，硕士研究生5</w:t>
      </w:r>
      <w:r>
        <w:rPr>
          <w:szCs w:val="28"/>
        </w:rPr>
        <w:t>000元</w:t>
      </w:r>
      <w:r>
        <w:rPr>
          <w:rFonts w:hint="eastAsia"/>
          <w:szCs w:val="28"/>
        </w:rPr>
        <w:t>/年）。</w:t>
      </w:r>
    </w:p>
    <w:p>
      <w:pPr>
        <w:spacing w:line="360" w:lineRule="auto"/>
        <w:ind w:firstLine="560" w:firstLineChars="200"/>
        <w:rPr>
          <w:szCs w:val="28"/>
        </w:rPr>
      </w:pPr>
      <w:r>
        <w:rPr>
          <w:rFonts w:hint="eastAsia"/>
          <w:szCs w:val="28"/>
        </w:rPr>
        <w:t>2</w:t>
      </w:r>
      <w:r>
        <w:rPr>
          <w:szCs w:val="28"/>
        </w:rPr>
        <w:t>02</w:t>
      </w:r>
      <w:r>
        <w:rPr>
          <w:rFonts w:hint="eastAsia"/>
          <w:szCs w:val="28"/>
        </w:rPr>
        <w:t>2年，学科6人获得省学业奖学金，13人获得校级奖学金，5人获得校新生奖学金（8000-10000元），19</w:t>
      </w:r>
      <w:r>
        <w:rPr>
          <w:szCs w:val="28"/>
        </w:rPr>
        <w:t>人次获得国家助学金</w:t>
      </w:r>
      <w:r>
        <w:rPr>
          <w:rFonts w:hint="eastAsia"/>
          <w:szCs w:val="28"/>
        </w:rPr>
        <w:t>。</w:t>
      </w:r>
      <w:r>
        <w:rPr>
          <w:szCs w:val="28"/>
        </w:rPr>
        <w:t>奖学金</w:t>
      </w:r>
      <w:r>
        <w:rPr>
          <w:rFonts w:hint="eastAsia"/>
          <w:szCs w:val="28"/>
        </w:rPr>
        <w:t>和</w:t>
      </w:r>
      <w:r>
        <w:rPr>
          <w:szCs w:val="28"/>
        </w:rPr>
        <w:t>助学金达到了研究生全覆盖</w:t>
      </w:r>
      <w:r>
        <w:rPr>
          <w:rFonts w:hint="eastAsia"/>
          <w:szCs w:val="28"/>
        </w:rPr>
        <w:t>，</w:t>
      </w:r>
      <w:r>
        <w:rPr>
          <w:szCs w:val="28"/>
        </w:rPr>
        <w:t>为研究生提供</w:t>
      </w:r>
      <w:r>
        <w:rPr>
          <w:rFonts w:hint="eastAsia"/>
          <w:szCs w:val="28"/>
        </w:rPr>
        <w:t>了</w:t>
      </w:r>
      <w:r>
        <w:rPr>
          <w:szCs w:val="28"/>
        </w:rPr>
        <w:t>基本的生活保障。多年来学科获得奖助水平、覆盖面保持在较高的水准。</w:t>
      </w:r>
    </w:p>
    <w:p>
      <w:pPr>
        <w:pStyle w:val="2"/>
        <w:ind w:firstLine="560"/>
      </w:pPr>
    </w:p>
    <w:p>
      <w:pPr>
        <w:pStyle w:val="2"/>
        <w:spacing w:line="560" w:lineRule="exact"/>
        <w:ind w:firstLine="562"/>
        <w:rPr>
          <w:rFonts w:ascii="Times New Roman" w:hAnsi="Times New Roman" w:eastAsia="宋体" w:cs="宋体"/>
          <w:b/>
          <w:bCs/>
          <w:szCs w:val="28"/>
        </w:rPr>
      </w:pPr>
      <w:r>
        <w:rPr>
          <w:rFonts w:hint="eastAsia" w:ascii="Times New Roman" w:hAnsi="Times New Roman" w:eastAsia="宋体" w:cs="宋体"/>
          <w:b/>
          <w:bCs/>
          <w:szCs w:val="28"/>
        </w:rPr>
        <w:t>（三）人才培养情况</w:t>
      </w:r>
    </w:p>
    <w:p>
      <w:pPr>
        <w:ind w:firstLine="562" w:firstLineChars="200"/>
        <w:rPr>
          <w:rFonts w:cs="宋体"/>
          <w:szCs w:val="28"/>
        </w:rPr>
      </w:pPr>
      <w:r>
        <w:rPr>
          <w:rFonts w:hint="eastAsia" w:cs="宋体"/>
          <w:b/>
          <w:bCs/>
          <w:szCs w:val="28"/>
        </w:rPr>
        <w:t>1.招生选拔</w:t>
      </w:r>
    </w:p>
    <w:p>
      <w:pPr>
        <w:ind w:firstLine="560" w:firstLineChars="200"/>
        <w:rPr>
          <w:szCs w:val="28"/>
        </w:rPr>
      </w:pPr>
      <w:r>
        <w:rPr>
          <w:szCs w:val="28"/>
        </w:rPr>
        <w:t>十三五以来，学科</w:t>
      </w:r>
      <w:r>
        <w:rPr>
          <w:rFonts w:hint="eastAsia"/>
          <w:szCs w:val="28"/>
        </w:rPr>
        <w:t>研究生</w:t>
      </w:r>
      <w:r>
        <w:rPr>
          <w:szCs w:val="28"/>
        </w:rPr>
        <w:t>生源以本校</w:t>
      </w:r>
      <w:r>
        <w:rPr>
          <w:rFonts w:hint="eastAsia"/>
          <w:szCs w:val="28"/>
        </w:rPr>
        <w:t>和</w:t>
      </w:r>
      <w:r>
        <w:rPr>
          <w:szCs w:val="28"/>
        </w:rPr>
        <w:t>外校考研</w:t>
      </w:r>
      <w:r>
        <w:rPr>
          <w:rFonts w:hint="eastAsia"/>
          <w:szCs w:val="28"/>
        </w:rPr>
        <w:t>为主</w:t>
      </w:r>
      <w:r>
        <w:rPr>
          <w:szCs w:val="28"/>
        </w:rPr>
        <w:t>，总体</w:t>
      </w:r>
      <w:r>
        <w:rPr>
          <w:rFonts w:hint="eastAsia"/>
          <w:szCs w:val="28"/>
        </w:rPr>
        <w:t>上</w:t>
      </w:r>
      <w:r>
        <w:rPr>
          <w:szCs w:val="28"/>
        </w:rPr>
        <w:t>生源充足，专业基础扎实</w:t>
      </w:r>
      <w:r>
        <w:rPr>
          <w:rFonts w:hint="eastAsia"/>
          <w:szCs w:val="28"/>
        </w:rPr>
        <w:t>，生源</w:t>
      </w:r>
      <w:r>
        <w:rPr>
          <w:szCs w:val="28"/>
        </w:rPr>
        <w:t>质量</w:t>
      </w:r>
      <w:r>
        <w:rPr>
          <w:rFonts w:hint="eastAsia"/>
          <w:szCs w:val="28"/>
        </w:rPr>
        <w:t>较好。2</w:t>
      </w:r>
      <w:r>
        <w:rPr>
          <w:szCs w:val="28"/>
        </w:rPr>
        <w:t>02</w:t>
      </w:r>
      <w:r>
        <w:rPr>
          <w:rFonts w:hint="eastAsia"/>
          <w:szCs w:val="28"/>
        </w:rPr>
        <w:t>2年度本学位点学硕研究生报考数量为8人，上线人数4人，录取比例为</w:t>
      </w:r>
      <w:r>
        <w:rPr>
          <w:szCs w:val="28"/>
        </w:rPr>
        <w:t>100%</w:t>
      </w:r>
      <w:r>
        <w:rPr>
          <w:rFonts w:hint="eastAsia"/>
          <w:szCs w:val="28"/>
        </w:rPr>
        <w:t>。调剂报名者100余人，择优录取2人，共录取生态学硕士研究生6人。为进一步保证生源质量，学科通过加强宣传力度，扩大生态学影响力和吸引力。充分利用本科生导师制等途径，鼓励学生推免或报考生态学科，通过公平竞争，提供较为优厚的奖助学金吸引优秀生源加入等。</w:t>
      </w:r>
    </w:p>
    <w:p>
      <w:pPr>
        <w:pStyle w:val="2"/>
        <w:spacing w:line="560" w:lineRule="exact"/>
        <w:ind w:firstLine="562"/>
        <w:rPr>
          <w:rFonts w:ascii="Times New Roman" w:hAnsi="Times New Roman" w:eastAsia="宋体" w:cs="宋体"/>
          <w:b/>
          <w:bCs/>
          <w:szCs w:val="28"/>
        </w:rPr>
      </w:pPr>
      <w:r>
        <w:rPr>
          <w:rFonts w:hint="eastAsia" w:ascii="Times New Roman" w:hAnsi="Times New Roman" w:eastAsia="宋体" w:cs="宋体"/>
          <w:b/>
          <w:bCs/>
          <w:szCs w:val="28"/>
        </w:rPr>
        <w:t>2.思政教育</w:t>
      </w:r>
    </w:p>
    <w:p>
      <w:pPr>
        <w:spacing w:line="360" w:lineRule="auto"/>
        <w:ind w:firstLine="560" w:firstLineChars="200"/>
        <w:rPr>
          <w:szCs w:val="28"/>
        </w:rPr>
      </w:pPr>
      <w:r>
        <w:rPr>
          <w:rFonts w:hint="eastAsia"/>
          <w:szCs w:val="28"/>
        </w:rPr>
        <w:t>学科</w:t>
      </w:r>
      <w:r>
        <w:rPr>
          <w:szCs w:val="28"/>
        </w:rPr>
        <w:t>积极开展</w:t>
      </w:r>
      <w:r>
        <w:rPr>
          <w:rFonts w:hint="eastAsia"/>
          <w:szCs w:val="28"/>
        </w:rPr>
        <w:t>“</w:t>
      </w:r>
      <w:r>
        <w:rPr>
          <w:szCs w:val="28"/>
        </w:rPr>
        <w:t>三全育人</w:t>
      </w:r>
      <w:r>
        <w:rPr>
          <w:rFonts w:hint="eastAsia"/>
          <w:szCs w:val="28"/>
        </w:rPr>
        <w:t>”</w:t>
      </w:r>
      <w:r>
        <w:rPr>
          <w:szCs w:val="28"/>
        </w:rPr>
        <w:t>综合改革，以学校思政</w:t>
      </w:r>
      <w:r>
        <w:rPr>
          <w:rFonts w:hint="eastAsia"/>
          <w:szCs w:val="28"/>
        </w:rPr>
        <w:t>建设</w:t>
      </w:r>
      <w:r>
        <w:rPr>
          <w:szCs w:val="28"/>
        </w:rPr>
        <w:t>带动学科思政</w:t>
      </w:r>
      <w:r>
        <w:rPr>
          <w:rFonts w:hint="eastAsia"/>
          <w:szCs w:val="28"/>
        </w:rPr>
        <w:t>教育</w:t>
      </w:r>
      <w:r>
        <w:rPr>
          <w:szCs w:val="28"/>
        </w:rPr>
        <w:t>，构建了内容完善、标准健全、运行科学、保障有力、成效显著的思想政治工作体系，形成了全员全过程全方位育人格局。</w:t>
      </w:r>
    </w:p>
    <w:p>
      <w:pPr>
        <w:spacing w:line="360" w:lineRule="auto"/>
        <w:ind w:firstLine="560" w:firstLineChars="200"/>
        <w:rPr>
          <w:szCs w:val="28"/>
        </w:rPr>
      </w:pPr>
      <w:r>
        <w:rPr>
          <w:szCs w:val="28"/>
        </w:rPr>
        <w:t>近年来，马克思主义学院教师立项省级教学改革课题7项，获省级教学成果二等奖1项，1位教师荣获“全国高校思政课教学骨干”荣誉称号，2位教师获全省高校十大“优秀思想政治理论课教师”荣誉称号，2位教师在全省高校青年教师教学竞赛总决赛中获一等奖，多名教师在全省高校思政课青年教师教学基本功比赛、全省战“疫”思政课堂竞赛中获一、二、三等奖。《思想道德修养与法律基础》获评江西省高校“课程思政”示范课程，《中国近现代史纲要》入选省级精品在线开放课程。《思想道德修养与法律基础》</w:t>
      </w:r>
      <w:r>
        <w:rPr>
          <w:rFonts w:hint="eastAsia"/>
          <w:szCs w:val="28"/>
        </w:rPr>
        <w:t>和</w:t>
      </w:r>
      <w:r>
        <w:rPr>
          <w:szCs w:val="28"/>
        </w:rPr>
        <w:t>《英语话农史》两门课程获批为江西高校“课程思政”示范课程。</w:t>
      </w:r>
      <w:r>
        <w:rPr>
          <w:rFonts w:hint="eastAsia"/>
          <w:szCs w:val="28"/>
        </w:rPr>
        <w:t>本年度学科依托马克思主义学院的强力支撑，开设了《中国特色社会主义理论与实践》、《中国马克思主义与当代》、《自然辩证法》等思政课程，</w:t>
      </w:r>
      <w:r>
        <w:rPr>
          <w:szCs w:val="28"/>
        </w:rPr>
        <w:t>这些课程为学科思政建设提供了良好保障，通过思政教育，意识形态阵地得到有效管控，没有发生影响意识形态安全的事件。</w:t>
      </w:r>
      <w:r>
        <w:rPr>
          <w:rFonts w:hint="eastAsia"/>
          <w:szCs w:val="28"/>
        </w:rPr>
        <w:t>此外，在课程思政方面，学科成员将生态学历史发展、典型人物示例、当前相关政策文件及热点问题等方面融入课程建设，强调绿水青山就是金山银山，帮助研究生树立良好的生态理论观念并付诸实践。</w:t>
      </w:r>
    </w:p>
    <w:p>
      <w:pPr>
        <w:spacing w:line="360" w:lineRule="auto"/>
        <w:ind w:firstLine="560" w:firstLineChars="200"/>
        <w:rPr>
          <w:szCs w:val="28"/>
        </w:rPr>
      </w:pPr>
      <w:r>
        <w:rPr>
          <w:szCs w:val="28"/>
        </w:rPr>
        <w:t>近年来，学校通过强化党建引领，不断激发基层活力，党建工作取得丰硕成果。学校连续27次荣获全国大中专学生志愿者暑期“三下乡”社会实践活动优秀单位。</w:t>
      </w:r>
      <w:r>
        <w:rPr>
          <w:rFonts w:hint="eastAsia"/>
          <w:szCs w:val="28"/>
        </w:rPr>
        <w:t>近年来，</w:t>
      </w:r>
      <w:r>
        <w:rPr>
          <w:szCs w:val="28"/>
        </w:rPr>
        <w:t>共在省部级以上媒体发稿3800余篇次，其中在中央级媒体发稿863篇，实现了江西农业大学对外影响力和美誉度的双重提升</w:t>
      </w:r>
      <w:r>
        <w:rPr>
          <w:rFonts w:hint="eastAsia"/>
          <w:szCs w:val="28"/>
        </w:rPr>
        <w:t>，</w:t>
      </w:r>
      <w:r>
        <w:rPr>
          <w:szCs w:val="28"/>
        </w:rPr>
        <w:t>为当地经济社会发展提出</w:t>
      </w:r>
      <w:r>
        <w:rPr>
          <w:rFonts w:hint="eastAsia"/>
          <w:szCs w:val="28"/>
        </w:rPr>
        <w:t>多</w:t>
      </w:r>
      <w:r>
        <w:rPr>
          <w:szCs w:val="28"/>
        </w:rPr>
        <w:t>条合理化建议，得到了服务地干部群众的广泛好评。</w:t>
      </w:r>
      <w:r>
        <w:rPr>
          <w:rFonts w:hint="eastAsia"/>
          <w:szCs w:val="28"/>
        </w:rPr>
        <w:t>学科研究生所属党支部积极参与党建工作，认真学习习近平讲话精神，努力践行党员带头模范作用，在生活、科研中均有优良表现。</w:t>
      </w:r>
    </w:p>
    <w:p>
      <w:pPr>
        <w:ind w:firstLine="621"/>
        <w:rPr>
          <w:rFonts w:cs="宋体"/>
          <w:b/>
          <w:bCs/>
          <w:szCs w:val="28"/>
        </w:rPr>
      </w:pPr>
      <w:r>
        <w:rPr>
          <w:rFonts w:hint="eastAsia" w:cs="宋体"/>
          <w:b/>
          <w:bCs/>
          <w:szCs w:val="28"/>
        </w:rPr>
        <w:t>3.课程教学</w:t>
      </w:r>
    </w:p>
    <w:p>
      <w:pPr>
        <w:spacing w:line="360" w:lineRule="auto"/>
        <w:ind w:firstLine="560" w:firstLineChars="200"/>
        <w:rPr>
          <w:szCs w:val="28"/>
        </w:rPr>
      </w:pPr>
      <w:r>
        <w:rPr>
          <w:rFonts w:hint="eastAsia"/>
          <w:szCs w:val="28"/>
        </w:rPr>
        <w:t>本学位点课程教学质量良好并根据教学督导组及学生反馈持续改进。在教材建设方面，黄国勤教授作为副主编参与编写《耕作学》，该教材为普通高等教育农业农村部“十三五”规划教材、全国高等农林院校“十三五”规划教材，于2021年11月出版，被遴选为2022年《耕作学》本科生课程的教材。学位点共开设核心课程2</w:t>
      </w:r>
      <w:r>
        <w:rPr>
          <w:szCs w:val="28"/>
        </w:rPr>
        <w:t>0</w:t>
      </w:r>
      <w:r>
        <w:rPr>
          <w:rFonts w:hint="eastAsia"/>
          <w:szCs w:val="28"/>
        </w:rPr>
        <w:t>余门，列表如下：</w:t>
      </w:r>
    </w:p>
    <w:p>
      <w:pPr>
        <w:spacing w:line="360" w:lineRule="auto"/>
        <w:ind w:firstLine="619"/>
        <w:rPr>
          <w:szCs w:val="28"/>
        </w:rPr>
      </w:pPr>
      <w:r>
        <w:rPr>
          <w:rFonts w:hint="eastAsia"/>
          <w:szCs w:val="28"/>
        </w:rPr>
        <w:t>博士生核心课程：</w:t>
      </w:r>
    </w:p>
    <w:tbl>
      <w:tblPr>
        <w:tblStyle w:val="6"/>
        <w:tblW w:w="5000" w:type="pct"/>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5550"/>
        <w:gridCol w:w="2786"/>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45" w:hRule="atLeast"/>
          <w:jc w:val="center"/>
        </w:trPr>
        <w:tc>
          <w:tcPr>
            <w:tcW w:w="3329" w:type="pct"/>
            <w:vAlign w:val="center"/>
          </w:tcPr>
          <w:p>
            <w:pPr>
              <w:widowControl w:val="0"/>
              <w:spacing w:line="240" w:lineRule="auto"/>
              <w:ind w:firstLine="0" w:firstLineChars="0"/>
              <w:jc w:val="center"/>
              <w:rPr>
                <w:rFonts w:cs="Times New Roman"/>
                <w:bCs/>
                <w:color w:val="000000"/>
                <w:sz w:val="24"/>
                <w:szCs w:val="24"/>
              </w:rPr>
            </w:pPr>
            <w:r>
              <w:rPr>
                <w:rFonts w:cs="Times New Roman"/>
                <w:b/>
                <w:color w:val="000000"/>
                <w:sz w:val="24"/>
                <w:szCs w:val="24"/>
              </w:rPr>
              <w:t>课程名称</w:t>
            </w:r>
          </w:p>
        </w:tc>
        <w:tc>
          <w:tcPr>
            <w:tcW w:w="1671" w:type="pct"/>
            <w:vAlign w:val="center"/>
          </w:tcPr>
          <w:p>
            <w:pPr>
              <w:widowControl w:val="0"/>
              <w:spacing w:line="240" w:lineRule="auto"/>
              <w:ind w:firstLine="0" w:firstLineChars="0"/>
              <w:jc w:val="center"/>
              <w:rPr>
                <w:rFonts w:cs="Times New Roman"/>
                <w:b/>
                <w:color w:val="000000"/>
                <w:sz w:val="24"/>
                <w:szCs w:val="24"/>
              </w:rPr>
            </w:pPr>
            <w:r>
              <w:rPr>
                <w:rFonts w:cs="Times New Roman"/>
                <w:b/>
                <w:color w:val="000000"/>
                <w:sz w:val="24"/>
                <w:szCs w:val="24"/>
              </w:rPr>
              <w:t>主讲人</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PrEx>
        <w:trPr>
          <w:trHeight w:val="337" w:hRule="atLeast"/>
          <w:jc w:val="center"/>
        </w:trPr>
        <w:tc>
          <w:tcPr>
            <w:tcW w:w="3329" w:type="pct"/>
            <w:vAlign w:val="center"/>
          </w:tcPr>
          <w:p>
            <w:pPr>
              <w:widowControl w:val="0"/>
              <w:spacing w:line="240" w:lineRule="auto"/>
              <w:ind w:firstLine="0" w:firstLineChars="0"/>
              <w:jc w:val="center"/>
              <w:rPr>
                <w:rFonts w:cs="Times New Roman"/>
                <w:sz w:val="24"/>
                <w:szCs w:val="24"/>
              </w:rPr>
            </w:pPr>
            <w:r>
              <w:rPr>
                <w:rFonts w:cs="Times New Roman"/>
                <w:kern w:val="0"/>
                <w:sz w:val="24"/>
                <w:szCs w:val="24"/>
              </w:rPr>
              <w:t>作物研究前言</w:t>
            </w:r>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贺浩华等</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3329" w:type="pct"/>
            <w:vAlign w:val="center"/>
          </w:tcPr>
          <w:p>
            <w:pPr>
              <w:widowControl w:val="0"/>
              <w:spacing w:line="240" w:lineRule="auto"/>
              <w:ind w:firstLine="0" w:firstLineChars="0"/>
              <w:jc w:val="center"/>
              <w:rPr>
                <w:rFonts w:cs="Times New Roman"/>
                <w:color w:val="000000"/>
                <w:sz w:val="24"/>
                <w:szCs w:val="24"/>
              </w:rPr>
            </w:pPr>
            <w:bookmarkStart w:id="0" w:name="_Hlk97018170"/>
            <w:r>
              <w:rPr>
                <w:rFonts w:cs="Times New Roman"/>
                <w:color w:val="000000"/>
                <w:sz w:val="24"/>
                <w:szCs w:val="24"/>
              </w:rPr>
              <w:t>现代生态学进展</w:t>
            </w:r>
            <w:bookmarkEnd w:id="0"/>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r>
              <w:rPr>
                <w:rFonts w:hint="eastAsia" w:cs="Times New Roman"/>
                <w:color w:val="000000"/>
                <w:sz w:val="24"/>
                <w:szCs w:val="24"/>
              </w:rPr>
              <w:t>等</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3329"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生命科学研究进展</w:t>
            </w:r>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陈小荣等</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3329"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专业英语写作</w:t>
            </w:r>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吴自明</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3329" w:type="pct"/>
            <w:vAlign w:val="center"/>
          </w:tcPr>
          <w:p>
            <w:pPr>
              <w:widowControl w:val="0"/>
              <w:spacing w:line="240" w:lineRule="auto"/>
              <w:ind w:firstLine="0" w:firstLineChars="0"/>
              <w:jc w:val="center"/>
              <w:rPr>
                <w:rFonts w:cs="Times New Roman"/>
                <w:color w:val="000000"/>
                <w:sz w:val="24"/>
                <w:szCs w:val="24"/>
              </w:rPr>
            </w:pPr>
            <w:bookmarkStart w:id="1" w:name="_Hlk97018200"/>
            <w:r>
              <w:rPr>
                <w:rFonts w:cs="Times New Roman"/>
                <w:color w:val="000000"/>
                <w:sz w:val="24"/>
                <w:szCs w:val="24"/>
              </w:rPr>
              <w:t>农业现代化专题</w:t>
            </w:r>
            <w:bookmarkEnd w:id="1"/>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37" w:hRule="atLeast"/>
          <w:jc w:val="center"/>
        </w:trPr>
        <w:tc>
          <w:tcPr>
            <w:tcW w:w="3329" w:type="pct"/>
            <w:vAlign w:val="center"/>
          </w:tcPr>
          <w:p>
            <w:pPr>
              <w:widowControl w:val="0"/>
              <w:spacing w:line="240" w:lineRule="auto"/>
              <w:ind w:firstLine="0" w:firstLineChars="0"/>
              <w:jc w:val="center"/>
              <w:rPr>
                <w:rFonts w:cs="Times New Roman"/>
                <w:color w:val="000000"/>
                <w:sz w:val="24"/>
                <w:szCs w:val="24"/>
              </w:rPr>
            </w:pPr>
            <w:bookmarkStart w:id="2" w:name="_Hlk97018191"/>
            <w:r>
              <w:rPr>
                <w:rFonts w:cs="Times New Roman"/>
                <w:color w:val="000000"/>
                <w:sz w:val="24"/>
                <w:szCs w:val="24"/>
              </w:rPr>
              <w:t>全球变化与生态学</w:t>
            </w:r>
            <w:bookmarkEnd w:id="2"/>
          </w:p>
        </w:tc>
        <w:tc>
          <w:tcPr>
            <w:tcW w:w="167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r>
              <w:rPr>
                <w:rFonts w:hint="eastAsia" w:cs="Times New Roman"/>
                <w:color w:val="000000"/>
                <w:sz w:val="24"/>
                <w:szCs w:val="24"/>
              </w:rPr>
              <w:t>等</w:t>
            </w:r>
          </w:p>
        </w:tc>
      </w:tr>
    </w:tbl>
    <w:p>
      <w:pPr>
        <w:ind w:firstLine="619"/>
        <w:rPr>
          <w:szCs w:val="28"/>
        </w:rPr>
      </w:pPr>
      <w:r>
        <w:rPr>
          <w:rFonts w:hint="eastAsia"/>
          <w:szCs w:val="28"/>
        </w:rPr>
        <w:t>硕士生核心课程：</w:t>
      </w:r>
    </w:p>
    <w:tbl>
      <w:tblPr>
        <w:tblStyle w:val="6"/>
        <w:tblW w:w="5000" w:type="pct"/>
        <w:jc w:val="center"/>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Layout w:type="autofit"/>
        <w:tblCellMar>
          <w:top w:w="0" w:type="dxa"/>
          <w:left w:w="0" w:type="dxa"/>
          <w:bottom w:w="0" w:type="dxa"/>
          <w:right w:w="0" w:type="dxa"/>
        </w:tblCellMar>
      </w:tblPr>
      <w:tblGrid>
        <w:gridCol w:w="5734"/>
        <w:gridCol w:w="2602"/>
      </w:tblGrid>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0" w:hRule="atLeast"/>
          <w:jc w:val="center"/>
        </w:trPr>
        <w:tc>
          <w:tcPr>
            <w:tcW w:w="3439" w:type="pct"/>
            <w:vAlign w:val="center"/>
          </w:tcPr>
          <w:p>
            <w:pPr>
              <w:widowControl w:val="0"/>
              <w:spacing w:line="240" w:lineRule="auto"/>
              <w:ind w:firstLine="0" w:firstLineChars="0"/>
              <w:jc w:val="center"/>
              <w:rPr>
                <w:rFonts w:cs="Times New Roman"/>
                <w:b/>
                <w:color w:val="000000"/>
                <w:sz w:val="24"/>
                <w:szCs w:val="24"/>
              </w:rPr>
            </w:pPr>
            <w:r>
              <w:rPr>
                <w:rFonts w:cs="Times New Roman"/>
                <w:b/>
                <w:color w:val="000000"/>
                <w:sz w:val="24"/>
                <w:szCs w:val="24"/>
              </w:rPr>
              <w:t>课程名称</w:t>
            </w:r>
          </w:p>
        </w:tc>
        <w:tc>
          <w:tcPr>
            <w:tcW w:w="1561" w:type="pct"/>
            <w:vAlign w:val="center"/>
          </w:tcPr>
          <w:p>
            <w:pPr>
              <w:widowControl w:val="0"/>
              <w:spacing w:line="240" w:lineRule="auto"/>
              <w:ind w:firstLine="0" w:firstLineChars="0"/>
              <w:jc w:val="center"/>
              <w:rPr>
                <w:rFonts w:cs="Times New Roman"/>
                <w:b/>
                <w:color w:val="000000"/>
                <w:sz w:val="24"/>
                <w:szCs w:val="24"/>
              </w:rPr>
            </w:pPr>
            <w:r>
              <w:rPr>
                <w:rFonts w:cs="Times New Roman"/>
                <w:b/>
                <w:color w:val="000000"/>
                <w:sz w:val="24"/>
                <w:szCs w:val="24"/>
              </w:rPr>
              <w:t>主讲人</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现代生态学概论</w:t>
            </w:r>
          </w:p>
        </w:tc>
        <w:tc>
          <w:tcPr>
            <w:tcW w:w="1561" w:type="pct"/>
            <w:vAlign w:val="center"/>
          </w:tcPr>
          <w:p>
            <w:pPr>
              <w:widowControl w:val="0"/>
              <w:spacing w:line="240" w:lineRule="auto"/>
              <w:ind w:firstLine="0" w:firstLineChars="0"/>
              <w:jc w:val="center"/>
              <w:rPr>
                <w:rFonts w:cs="Times New Roman"/>
                <w:color w:val="000000"/>
                <w:sz w:val="24"/>
                <w:szCs w:val="24"/>
              </w:rPr>
            </w:pPr>
            <w:r>
              <w:rPr>
                <w:rFonts w:hint="eastAsia" w:cs="Times New Roman"/>
                <w:color w:val="000000"/>
                <w:sz w:val="24"/>
                <w:szCs w:val="24"/>
              </w:rPr>
              <w:t>王淑彬、</w:t>
            </w:r>
            <w:r>
              <w:rPr>
                <w:rFonts w:cs="Times New Roman"/>
                <w:color w:val="000000"/>
                <w:sz w:val="24"/>
                <w:szCs w:val="24"/>
              </w:rPr>
              <w:t>蒋海燕</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农业可持续发展导论</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高级农业生态学</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r>
              <w:rPr>
                <w:rFonts w:hint="eastAsia" w:cs="Times New Roman"/>
                <w:color w:val="000000"/>
                <w:sz w:val="24"/>
                <w:szCs w:val="24"/>
              </w:rPr>
              <w:t>等</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生态学研究进展</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自然辩证法</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易启洪</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生态经济学概论</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王淑彬</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分子生物学</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陈从英</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高级生物化学</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王义华</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高级植物生理学导论</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程建峰</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高级植物生理学</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程建峰</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color w:val="000000"/>
                <w:sz w:val="24"/>
                <w:szCs w:val="24"/>
              </w:rPr>
            </w:pPr>
            <w:r>
              <w:rPr>
                <w:rFonts w:cs="Times New Roman"/>
                <w:kern w:val="0"/>
                <w:sz w:val="24"/>
                <w:szCs w:val="24"/>
              </w:rPr>
              <w:t>生态学研究方法</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r>
              <w:rPr>
                <w:rFonts w:hint="eastAsia" w:cs="Times New Roman"/>
                <w:color w:val="000000"/>
                <w:sz w:val="24"/>
                <w:szCs w:val="24"/>
              </w:rPr>
              <w:t>等</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自然灾害与防灾减灾</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黄国勤</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生物仪器技术分析</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霍光华</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计算机应用</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戴仕明</w:t>
            </w:r>
          </w:p>
        </w:tc>
      </w:tr>
      <w:tr>
        <w:tblPrEx>
          <w:tblBorders>
            <w:top w:val="single" w:color="auto" w:sz="12" w:space="0"/>
            <w:left w:val="single" w:color="auto" w:sz="12" w:space="0"/>
            <w:bottom w:val="single" w:color="000000"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55" w:hRule="atLeast"/>
          <w:jc w:val="center"/>
        </w:trPr>
        <w:tc>
          <w:tcPr>
            <w:tcW w:w="3439" w:type="pct"/>
            <w:vAlign w:val="center"/>
          </w:tcPr>
          <w:p>
            <w:pPr>
              <w:widowControl w:val="0"/>
              <w:spacing w:line="240" w:lineRule="auto"/>
              <w:ind w:firstLine="0" w:firstLineChars="0"/>
              <w:jc w:val="center"/>
              <w:rPr>
                <w:rFonts w:cs="Times New Roman"/>
                <w:kern w:val="0"/>
                <w:sz w:val="24"/>
                <w:szCs w:val="24"/>
              </w:rPr>
            </w:pPr>
            <w:r>
              <w:rPr>
                <w:rFonts w:cs="Times New Roman"/>
                <w:kern w:val="0"/>
                <w:sz w:val="24"/>
                <w:szCs w:val="24"/>
              </w:rPr>
              <w:t>文献检索与利用</w:t>
            </w:r>
          </w:p>
        </w:tc>
        <w:tc>
          <w:tcPr>
            <w:tcW w:w="1561" w:type="pct"/>
            <w:vAlign w:val="center"/>
          </w:tcPr>
          <w:p>
            <w:pPr>
              <w:widowControl w:val="0"/>
              <w:spacing w:line="240" w:lineRule="auto"/>
              <w:ind w:firstLine="0" w:firstLineChars="0"/>
              <w:jc w:val="center"/>
              <w:rPr>
                <w:rFonts w:cs="Times New Roman"/>
                <w:color w:val="000000"/>
                <w:sz w:val="24"/>
                <w:szCs w:val="24"/>
              </w:rPr>
            </w:pPr>
            <w:r>
              <w:rPr>
                <w:rFonts w:cs="Times New Roman"/>
                <w:color w:val="000000"/>
                <w:sz w:val="24"/>
                <w:szCs w:val="24"/>
              </w:rPr>
              <w:t>王小雄</w:t>
            </w:r>
          </w:p>
        </w:tc>
      </w:tr>
    </w:tbl>
    <w:p>
      <w:pPr>
        <w:pStyle w:val="2"/>
        <w:spacing w:line="560" w:lineRule="exact"/>
        <w:ind w:firstLine="562"/>
        <w:rPr>
          <w:rFonts w:ascii="Times New Roman" w:hAnsi="Times New Roman" w:eastAsia="宋体" w:cs="宋体"/>
          <w:b/>
          <w:bCs/>
        </w:rPr>
      </w:pPr>
    </w:p>
    <w:p>
      <w:pPr>
        <w:pStyle w:val="2"/>
        <w:spacing w:line="560" w:lineRule="exact"/>
        <w:ind w:firstLine="562"/>
        <w:rPr>
          <w:rFonts w:ascii="Times New Roman" w:hAnsi="Times New Roman" w:eastAsia="宋体" w:cs="宋体"/>
          <w:b/>
          <w:bCs/>
        </w:rPr>
      </w:pPr>
      <w:r>
        <w:rPr>
          <w:rFonts w:hint="eastAsia" w:ascii="Times New Roman" w:hAnsi="Times New Roman" w:eastAsia="宋体" w:cs="宋体"/>
          <w:b/>
          <w:bCs/>
        </w:rPr>
        <w:t>4.导师指导</w:t>
      </w:r>
    </w:p>
    <w:p>
      <w:pPr>
        <w:spacing w:line="360" w:lineRule="auto"/>
        <w:ind w:firstLine="560" w:firstLineChars="200"/>
        <w:rPr>
          <w:rFonts w:cs="宋体"/>
          <w:b/>
          <w:bCs/>
          <w:szCs w:val="28"/>
        </w:rPr>
      </w:pPr>
      <w:r>
        <w:rPr>
          <w:rFonts w:hint="eastAsia" w:cs="宋体"/>
          <w:szCs w:val="28"/>
        </w:rPr>
        <w:t>本学位点导师作为专业学位研究生培养第一责任人，负责专业学位研究生的全面指导工作及校外实践环节。通过强化导师培训，积极参与研究生导师培训班，明确导师岗位责任，更好地履行导师职责。通过加强对研究生导师招生、培养等指导过程管理，强化导师岗位责任意识。学校层面，对研究生导师实行招生资格年审制和导师资格考核制，对研究生导师队伍严把质量关；此外，学校通过加强校外导师队伍建设，有利提升研究生校外实践教学质量。学校还出台了《江西农业大学研究生指导教师管理办法（修订）》（赣农大发[2017]34号），学科依据该规定进一步规范导师队伍管理，所有研究生导师具有较为坚实的专业知识和丰富的实践经验，并具有较强的解决行业领域实际问题的能力。</w:t>
      </w:r>
    </w:p>
    <w:p>
      <w:pPr>
        <w:ind w:firstLine="621"/>
        <w:rPr>
          <w:rFonts w:cs="宋体"/>
          <w:b/>
          <w:bCs/>
        </w:rPr>
      </w:pPr>
      <w:r>
        <w:rPr>
          <w:rFonts w:hint="eastAsia" w:cs="宋体"/>
          <w:b/>
          <w:bCs/>
        </w:rPr>
        <w:t>5.学术训练</w:t>
      </w:r>
    </w:p>
    <w:p>
      <w:pPr>
        <w:spacing w:line="360" w:lineRule="auto"/>
        <w:ind w:firstLine="560" w:firstLineChars="200"/>
        <w:rPr>
          <w:szCs w:val="28"/>
        </w:rPr>
      </w:pPr>
      <w:r>
        <w:rPr>
          <w:rFonts w:hint="eastAsia"/>
          <w:szCs w:val="28"/>
        </w:rPr>
        <w:t>学科为了提升研究生培养质量，兼顾人才培养和现代农业产业发展需求，不断加强科教融合，产学研结合。学科与江西省农业科学院、江西省万年县农业农村局、余江区农业农村局以及江西多个森林自然保护区单位建立有良好的合作关系，学科还依托江西农业大学作物生理生态与遗传育种教育部重点实验室和江西农业大学上高科技小院等科研平台，在着力培养研究生科研创新能力的同时，强化服务地方经济，维护地方生态意识，为培养创新型人才、提高创新能力、服务经济社会发展、推进国家治理体系和治理能力现代化方面助力。</w:t>
      </w:r>
    </w:p>
    <w:p>
      <w:pPr>
        <w:spacing w:line="360" w:lineRule="auto"/>
        <w:ind w:firstLine="560" w:firstLineChars="200"/>
        <w:rPr>
          <w:szCs w:val="28"/>
        </w:rPr>
      </w:pPr>
      <w:r>
        <w:rPr>
          <w:rFonts w:hint="eastAsia"/>
          <w:szCs w:val="28"/>
        </w:rPr>
        <w:t>学科依据学校制定的研究生培养相关政策，加强制度管理，着力强调实验室安全和野外试验安全保障，学科拥有充足的科研经费支撑，并且在研究生助学金方面，学术型硕士研究生须有1年的助研、助管、辅导员或助教（32学时以上）工作。研究生助研津贴由导师承担，由导师根据研究生科研学习情况每月发放。</w:t>
      </w:r>
    </w:p>
    <w:p>
      <w:pPr>
        <w:ind w:firstLine="621"/>
        <w:rPr>
          <w:rFonts w:cs="宋体"/>
          <w:b/>
          <w:bCs/>
        </w:rPr>
      </w:pPr>
      <w:r>
        <w:rPr>
          <w:rFonts w:hint="eastAsia" w:cs="宋体"/>
          <w:b/>
          <w:bCs/>
        </w:rPr>
        <w:t>6.学术交流</w:t>
      </w:r>
    </w:p>
    <w:p>
      <w:pPr>
        <w:spacing w:line="360" w:lineRule="auto"/>
        <w:ind w:firstLine="560" w:firstLineChars="200"/>
        <w:rPr>
          <w:szCs w:val="28"/>
        </w:rPr>
      </w:pPr>
      <w:r>
        <w:rPr>
          <w:rFonts w:hint="eastAsia"/>
          <w:szCs w:val="28"/>
        </w:rPr>
        <w:t>搭建学术交流平台，拓展研究生学术视野。一是学科主办江西省生态经济学会学术年会、</w:t>
      </w:r>
      <w:bookmarkStart w:id="3" w:name="_Hlk97027526"/>
      <w:r>
        <w:rPr>
          <w:rFonts w:hint="eastAsia"/>
          <w:szCs w:val="28"/>
        </w:rPr>
        <w:t>江西省高校生态学学科联盟</w:t>
      </w:r>
      <w:bookmarkEnd w:id="3"/>
      <w:r>
        <w:rPr>
          <w:rFonts w:hint="eastAsia"/>
          <w:szCs w:val="28"/>
        </w:rPr>
        <w:t>学术年会等学术活动，邀请应遇龙院士、周卫院士等国内外知名专家作大会特邀报告，并与其他兄弟单位“以文会友”，提高研究生的学术认知和国际化视野。二是鼓励研究生参加学术会议并作报告，学科多名教师和研究生在“江西省农学会耕作专业委员会2022年学术年会暨第五届会员代表大会”和“2022年江西省生态学学科学术创新论坛”作学术报告。</w:t>
      </w:r>
    </w:p>
    <w:p>
      <w:pPr>
        <w:spacing w:line="360" w:lineRule="auto"/>
        <w:ind w:firstLine="560" w:firstLineChars="200"/>
        <w:rPr>
          <w:szCs w:val="28"/>
        </w:rPr>
      </w:pPr>
      <w:bookmarkStart w:id="4" w:name="_Hlk97021824"/>
      <w:r>
        <w:rPr>
          <w:rFonts w:hint="eastAsia"/>
          <w:szCs w:val="28"/>
        </w:rPr>
        <w:t>学位点教师在多个知名生态学相关学术组织或学术刊物中任职，其中，黄国勤教授为中国生态学学会常务理事，中国生态经济学学会常务理事，中国软科学研究会常务理事，中国农学会耕作制度分会副理事长，</w:t>
      </w:r>
      <w:r>
        <w:rPr>
          <w:rFonts w:hint="eastAsia"/>
          <w:i/>
          <w:szCs w:val="28"/>
        </w:rPr>
        <w:t>American Journal of Agriculture and Forestry，international Journal of Botanical Research，Research in Ecology</w:t>
      </w:r>
      <w:r>
        <w:rPr>
          <w:rFonts w:hint="eastAsia"/>
          <w:szCs w:val="28"/>
        </w:rPr>
        <w:t>等学术期刊编委，江西省生态经济学会理事长，江西省高校生态学学科联盟理事长，江西省农学会耕作专业委员会理事长，江西农业大学第六届学术委员会委员，《江西农业大学学报》第七届编委。张志勇教授为《江西农业大学学报》第七届编委，江西省植物学会副秘书长、常务理事，</w:t>
      </w:r>
      <w:r>
        <w:rPr>
          <w:rFonts w:hint="eastAsia"/>
          <w:i/>
          <w:szCs w:val="28"/>
        </w:rPr>
        <w:t>Frontiers in Genetics</w:t>
      </w:r>
      <w:r>
        <w:rPr>
          <w:rFonts w:hint="eastAsia"/>
          <w:szCs w:val="28"/>
        </w:rPr>
        <w:t>编委。李波教授为国际植物分类学会会员，美国植物分类学家联合会会员，中国野生植物保护协会红色名录专业委员会委员，世界自然保护联盟(IUCN)物种恢复委员会中国植物专家组委员，学科多名骨干成员担任</w:t>
      </w:r>
      <w:r>
        <w:rPr>
          <w:i/>
          <w:szCs w:val="28"/>
        </w:rPr>
        <w:t>New Phytologist, Molecular Ecology</w:t>
      </w:r>
      <w:r>
        <w:rPr>
          <w:rFonts w:hint="eastAsia"/>
          <w:szCs w:val="28"/>
        </w:rPr>
        <w:t>等国际学术期刊审稿人。</w:t>
      </w:r>
      <w:bookmarkEnd w:id="4"/>
    </w:p>
    <w:p>
      <w:pPr>
        <w:ind w:firstLine="621"/>
        <w:rPr>
          <w:rFonts w:cs="宋体"/>
          <w:b/>
          <w:bCs/>
        </w:rPr>
      </w:pPr>
      <w:r>
        <w:rPr>
          <w:rFonts w:hint="eastAsia" w:cs="宋体"/>
          <w:b/>
          <w:bCs/>
        </w:rPr>
        <w:t>7.论文质量</w:t>
      </w:r>
    </w:p>
    <w:p>
      <w:pPr>
        <w:spacing w:line="360" w:lineRule="auto"/>
        <w:ind w:firstLine="560" w:firstLineChars="200"/>
      </w:pPr>
      <w:r>
        <w:rPr>
          <w:rFonts w:hint="eastAsia"/>
          <w:szCs w:val="28"/>
        </w:rPr>
        <w:t>本学位点学位论文在各类论文抽检、评审中的情况和论文质量分析。一是严把论文质量关，制定出台了《江西农业大学研究生学位论文相似性检测及处理办法（修订稿）》（赣农大研发〔2019〕33号）《研究生学位论文抽查评审办法（修订）》（赣农大研发[2019]49号）和《江西农业大学学术不端行为查处办法》（赣农大发[2017]54号）等系列制度，加强学术不端行为检测、学位论文检测盲审等过程管理；二是重视学位论文检测盲审结果应用，学位论文检测盲审结果直接与导师招生资格和学院年度考核挂钩；三是建立优秀论文奖励制度。出台《江西农业大学优秀硕士学位论文评选办法（修订）》（赣农大研发[2018]56号），对优秀博硕士学位论文的作者及其指导教师进行奖励。</w:t>
      </w:r>
    </w:p>
    <w:p>
      <w:pPr>
        <w:pStyle w:val="2"/>
        <w:spacing w:line="560" w:lineRule="exact"/>
        <w:ind w:firstLine="562"/>
        <w:rPr>
          <w:rFonts w:ascii="Times New Roman" w:hAnsi="Times New Roman" w:cs="宋体"/>
          <w:szCs w:val="28"/>
        </w:rPr>
      </w:pPr>
      <w:r>
        <w:rPr>
          <w:rFonts w:hint="eastAsia" w:ascii="Times New Roman" w:hAnsi="Times New Roman" w:eastAsia="宋体" w:cs="宋体"/>
          <w:b/>
          <w:bCs/>
          <w:szCs w:val="28"/>
        </w:rPr>
        <w:t>8.质量保证</w:t>
      </w:r>
    </w:p>
    <w:p>
      <w:pPr>
        <w:spacing w:line="360" w:lineRule="auto"/>
        <w:ind w:firstLine="560" w:firstLineChars="200"/>
        <w:rPr>
          <w:szCs w:val="28"/>
        </w:rPr>
      </w:pPr>
      <w:r>
        <w:rPr>
          <w:rFonts w:hint="eastAsia"/>
          <w:szCs w:val="28"/>
        </w:rPr>
        <w:t>江西农业大学研究生院建立了完善的研究培养计划，从导师培训、培养过程、论文答辩及学位授予，均制定和完善均有明确说明，如下：</w:t>
      </w:r>
    </w:p>
    <w:p>
      <w:pPr>
        <w:spacing w:line="360" w:lineRule="auto"/>
        <w:ind w:firstLine="560" w:firstLineChars="200"/>
        <w:rPr>
          <w:szCs w:val="28"/>
        </w:rPr>
      </w:pPr>
      <w:r>
        <w:rPr>
          <w:rFonts w:hint="eastAsia"/>
          <w:szCs w:val="28"/>
        </w:rPr>
        <w:t>（1）在研究生院的要求下，学科定期组织新增研究生导师岗前培训，岗前培训将作为导师上岗的必备条件之一。凡新增的硕士生指导教师均需进行上岗培训，未参加培训者，学校将不予发文认定其导师资格。</w:t>
      </w:r>
    </w:p>
    <w:p>
      <w:pPr>
        <w:spacing w:line="360" w:lineRule="auto"/>
        <w:ind w:firstLine="560" w:firstLineChars="200"/>
        <w:rPr>
          <w:szCs w:val="28"/>
        </w:rPr>
      </w:pPr>
      <w:r>
        <w:rPr>
          <w:rFonts w:hint="eastAsia"/>
          <w:szCs w:val="28"/>
        </w:rPr>
        <w:t>（2）为规范研究生培养过程管理，学科制定各专业研究生基础课、专业课的核心，确保研究生的培养质量；每一学期都由本学院的学术带头人给研究生开设不同专业领域的前沿知识和展望，开拓他们的视野和崇尚科学的兴趣，培养其教学素质。每年开展学科研究生科技论坛等活动，加强学生的科研训练力度。在研二第一学期，要进行学科研究生开题工作，每个学期要进行研究生中期考核，研究生第四学期第一周内将开题报告和中期考核报告统一报送研究生处检查并存档。</w:t>
      </w:r>
    </w:p>
    <w:p>
      <w:pPr>
        <w:spacing w:line="360" w:lineRule="auto"/>
        <w:ind w:firstLine="560" w:firstLineChars="200"/>
        <w:rPr>
          <w:rFonts w:cs="宋体"/>
          <w:color w:val="000000"/>
          <w:szCs w:val="28"/>
        </w:rPr>
      </w:pPr>
      <w:r>
        <w:rPr>
          <w:rFonts w:hint="eastAsia"/>
          <w:szCs w:val="28"/>
        </w:rPr>
        <w:t>（3）学科统一使用学位论文相似性检测系统，对所有各类研究生的学位论文进行检测，学位论文相似性检测结果参照《江西农业大学研究生学位论文相似性检测及处理办法（修订）》（赣农大研发〔2019〕33号）执行。同时要求专业学位研究生在论文送审之前需填写《江西农业大学专业学位研究生学位论文送审资格审批表》，并需本人承诺，经导师、学院分管领导、学科点专家组和研究生处审核通过方可进行学位论文送审工作。</w:t>
      </w:r>
    </w:p>
    <w:p>
      <w:pPr>
        <w:spacing w:line="360" w:lineRule="auto"/>
        <w:ind w:firstLine="621"/>
        <w:rPr>
          <w:rFonts w:cs="宋体"/>
          <w:b/>
          <w:bCs/>
        </w:rPr>
      </w:pPr>
      <w:r>
        <w:rPr>
          <w:rFonts w:hint="eastAsia" w:cs="宋体"/>
          <w:b/>
          <w:bCs/>
        </w:rPr>
        <w:t>9.学风建设</w:t>
      </w:r>
    </w:p>
    <w:p>
      <w:pPr>
        <w:pStyle w:val="12"/>
        <w:adjustRightInd w:val="0"/>
        <w:snapToGrid w:val="0"/>
        <w:spacing w:line="360" w:lineRule="auto"/>
        <w:ind w:firstLine="560"/>
        <w:rPr>
          <w:rFonts w:cs="宋体"/>
          <w:color w:val="000000"/>
          <w:sz w:val="24"/>
          <w:szCs w:val="24"/>
        </w:rPr>
      </w:pPr>
      <w:r>
        <w:rPr>
          <w:rFonts w:hint="eastAsia"/>
          <w:szCs w:val="28"/>
        </w:rPr>
        <w:t>加强学术规范，营造良好的学术氛围。学校出台了《江西农业大学学术不端行为查处办法》（赣农大发[2017]54号）等，进一步规范学术行为，严明学术纪律，维护学术道德，预防学术腐败，在学校广大师生中营造求实、诚信、向上的学术风气。结合科学道德和学风宣讲教育等工作，采取多种形式，认真做好学习宣传和实施工作。学校将学风教育贯穿于研究生培养的全过程，利用入学教育、论文开题、中期考核和毕业审核等各个环节，开展科学道德和学术规范教育。</w:t>
      </w:r>
    </w:p>
    <w:p>
      <w:pPr>
        <w:pStyle w:val="2"/>
        <w:spacing w:line="560" w:lineRule="exact"/>
        <w:ind w:firstLine="562"/>
        <w:rPr>
          <w:rFonts w:ascii="Times New Roman" w:hAnsi="Times New Roman" w:eastAsia="宋体" w:cs="宋体"/>
          <w:b/>
          <w:bCs/>
        </w:rPr>
      </w:pPr>
      <w:r>
        <w:rPr>
          <w:rFonts w:hint="eastAsia" w:ascii="Times New Roman" w:hAnsi="Times New Roman" w:eastAsia="宋体" w:cs="宋体"/>
          <w:b/>
          <w:bCs/>
        </w:rPr>
        <w:t>10.管理服务</w:t>
      </w:r>
    </w:p>
    <w:p>
      <w:pPr>
        <w:spacing w:line="360" w:lineRule="auto"/>
        <w:ind w:firstLine="560" w:firstLineChars="200"/>
        <w:rPr>
          <w:szCs w:val="28"/>
        </w:rPr>
      </w:pPr>
      <w:r>
        <w:rPr>
          <w:rFonts w:hint="eastAsia"/>
          <w:szCs w:val="28"/>
        </w:rPr>
        <w:t>学校研究生协同学院专职人员全面组织、协调研究生录取，制订培养和管理制度，进行学位授予和质量监督工作，各研究生培养单位负责培养方案的制订与实施，落实和执行规章制度，以及研究生教学日常管理工作。</w:t>
      </w:r>
    </w:p>
    <w:p>
      <w:pPr>
        <w:spacing w:line="360" w:lineRule="auto"/>
        <w:ind w:firstLine="560" w:firstLineChars="200"/>
        <w:rPr>
          <w:rFonts w:cs="宋体"/>
          <w:color w:val="000000"/>
          <w:szCs w:val="28"/>
        </w:rPr>
      </w:pPr>
      <w:r>
        <w:rPr>
          <w:rFonts w:hint="eastAsia"/>
          <w:szCs w:val="28"/>
        </w:rPr>
        <w:t>学校不断建立健全管理制度。相继出台了《江西农业大学硕博连读研究生选拔实施办法（修订）》（赣农大发[2021]44号）、《江西农业大学研究生课程教学管理办法》（赣农大研发[2017]15号）等从研究生招生、培养、学位论文等各环节较为完善的规章制度。此外，还建立了优厚的研究生奖助学金体系，严查实验室安全隐患、督促导师加强研究生管理等切实维护研究生权益，得到一致好评。</w:t>
      </w:r>
    </w:p>
    <w:p>
      <w:pPr>
        <w:ind w:firstLine="621"/>
        <w:rPr>
          <w:rFonts w:cs="仿宋"/>
          <w:szCs w:val="28"/>
        </w:rPr>
      </w:pPr>
      <w:r>
        <w:rPr>
          <w:rFonts w:hint="eastAsia" w:cs="宋体"/>
          <w:b/>
          <w:bCs/>
        </w:rPr>
        <w:t>11.就业发展</w:t>
      </w:r>
    </w:p>
    <w:p>
      <w:pPr>
        <w:spacing w:line="360" w:lineRule="auto"/>
        <w:ind w:firstLine="619"/>
        <w:rPr>
          <w:szCs w:val="28"/>
        </w:rPr>
      </w:pPr>
      <w:r>
        <w:rPr>
          <w:rFonts w:hint="eastAsia"/>
          <w:szCs w:val="28"/>
        </w:rPr>
        <w:t>本学科点非常重视研究生就业发展，导师根据学生的综合能力，积极制定符合实际的职业规划，为即将毕业的研究生积极联系相关工作单位。2022年度学科招收硕士研究生6人，博士研究生2人，毕业硕士研究生5人，3人进入相关事业单位（占比60%），2人进入相关公司工作，研究生毕业率和就业率都达到100%。近年学科毕业生在高等学校、科研院所、事业单位、企业等任职，在各自的工作岗位上发挥着重要作用。</w:t>
      </w:r>
    </w:p>
    <w:p>
      <w:pPr>
        <w:pStyle w:val="2"/>
        <w:ind w:firstLine="560"/>
      </w:pPr>
    </w:p>
    <w:p>
      <w:pPr>
        <w:ind w:firstLine="621"/>
        <w:rPr>
          <w:b/>
          <w:bCs/>
        </w:rPr>
      </w:pPr>
      <w:r>
        <w:rPr>
          <w:rFonts w:hint="eastAsia"/>
          <w:b/>
          <w:bCs/>
        </w:rPr>
        <w:t>（四）服务贡献情况</w:t>
      </w:r>
    </w:p>
    <w:p>
      <w:pPr>
        <w:ind w:firstLine="562" w:firstLineChars="200"/>
        <w:rPr>
          <w:rFonts w:cs="宋体"/>
          <w:color w:val="000000"/>
          <w:szCs w:val="28"/>
        </w:rPr>
      </w:pPr>
      <w:r>
        <w:rPr>
          <w:rFonts w:hint="eastAsia" w:cs="宋体"/>
          <w:b/>
          <w:bCs/>
          <w:szCs w:val="28"/>
        </w:rPr>
        <w:t>1.科技进步</w:t>
      </w:r>
    </w:p>
    <w:p>
      <w:pPr>
        <w:spacing w:line="360" w:lineRule="auto"/>
        <w:ind w:firstLine="560" w:firstLineChars="200"/>
        <w:rPr>
          <w:szCs w:val="28"/>
        </w:rPr>
      </w:pPr>
      <w:r>
        <w:rPr>
          <w:rFonts w:hint="eastAsia"/>
          <w:szCs w:val="28"/>
        </w:rPr>
        <w:t>本学位点依托省部共建重点实验室和江西农业大学“作物学”江西省一流建设学科，围绕生态学发展中的前言问题和农业生产需求，开展了作物生态与耕作技术研究、植物多样性研究和植物系统分类研究等。其中，农业生态与耕作制度研究不断深化和强化，包括冬闲田开发、土壤肥力提升技术研究等内容符合国家农业发展战略方向，</w:t>
      </w:r>
      <w:r>
        <w:rPr>
          <w:rFonts w:hint="eastAsia" w:cs="宋体"/>
          <w:szCs w:val="28"/>
        </w:rPr>
        <w:t>通过多年稻田轮作休耕的系统研究，发现随着耕作年限的增加，不同的轮作休耕制度可以通过促进土壤养分的吸收和增加稻田中细菌的相对丰度来提高水稻产量。该成果以“</w:t>
      </w:r>
      <w:r>
        <w:rPr>
          <w:rFonts w:cs="Times New Roman"/>
          <w:szCs w:val="28"/>
        </w:rPr>
        <w:t>Impacts of rotation-fallow practices on bacterial community structure in paddy fields”</w:t>
      </w:r>
      <w:r>
        <w:rPr>
          <w:rFonts w:hint="eastAsia" w:cs="宋体"/>
          <w:szCs w:val="28"/>
        </w:rPr>
        <w:t>为题，</w:t>
      </w:r>
      <w:r>
        <w:rPr>
          <w:rFonts w:cs="Times New Roman"/>
          <w:szCs w:val="28"/>
        </w:rPr>
        <w:t>2022</w:t>
      </w:r>
      <w:r>
        <w:rPr>
          <w:rFonts w:hint="eastAsia" w:cs="宋体"/>
          <w:szCs w:val="28"/>
        </w:rPr>
        <w:t>年发表在《</w:t>
      </w:r>
      <w:r>
        <w:rPr>
          <w:rFonts w:cs="Times New Roman"/>
          <w:szCs w:val="28"/>
        </w:rPr>
        <w:t>Microbiology Spectrum</w:t>
      </w:r>
      <w:r>
        <w:rPr>
          <w:rFonts w:hint="eastAsia" w:cs="宋体"/>
          <w:szCs w:val="28"/>
        </w:rPr>
        <w:t>》（中科院1区，</w:t>
      </w:r>
      <w:r>
        <w:rPr>
          <w:rFonts w:cs="Times New Roman"/>
          <w:szCs w:val="28"/>
        </w:rPr>
        <w:t>IF=9.043</w:t>
      </w:r>
      <w:r>
        <w:rPr>
          <w:rFonts w:hint="eastAsia" w:cs="宋体"/>
          <w:szCs w:val="28"/>
        </w:rPr>
        <w:t>）。学科相关科技进展在</w:t>
      </w:r>
      <w:r>
        <w:rPr>
          <w:rFonts w:hint="eastAsia"/>
          <w:szCs w:val="28"/>
        </w:rPr>
        <w:t>实现“藏粮于地，藏粮于技”，在保障江西粮食生产“主战场”、保障国家粮食安全方面做出了积极的贡献。</w:t>
      </w:r>
    </w:p>
    <w:p>
      <w:pPr>
        <w:spacing w:line="360" w:lineRule="auto"/>
        <w:ind w:firstLine="560" w:firstLineChars="200"/>
        <w:rPr>
          <w:szCs w:val="28"/>
        </w:rPr>
      </w:pPr>
      <w:r>
        <w:rPr>
          <w:rFonts w:hint="eastAsia"/>
          <w:szCs w:val="28"/>
        </w:rPr>
        <w:t>植物多样性方面，针对中国亚热带不同植被类型代表植物的谱系地理和遗传结构，阐明了晚第三纪以来地质气候变化对中国亚热带植被变化、植物物种形成以及植物遗传多样性分布的深刻影响。成果得到国际学术界的广泛认可，2020年获得了江西省自然科学奖一等奖。学科骨干成员在2022年获批国家自然科学基金2项。</w:t>
      </w:r>
    </w:p>
    <w:p>
      <w:pPr>
        <w:pStyle w:val="2"/>
        <w:spacing w:line="360" w:lineRule="auto"/>
        <w:ind w:firstLine="562"/>
        <w:rPr>
          <w:rFonts w:ascii="Times New Roman" w:hAnsi="Times New Roman" w:eastAsia="宋体" w:cs="宋体"/>
          <w:b/>
          <w:bCs/>
          <w:szCs w:val="28"/>
        </w:rPr>
      </w:pPr>
      <w:r>
        <w:rPr>
          <w:rFonts w:hint="eastAsia" w:ascii="Times New Roman" w:hAnsi="Times New Roman" w:eastAsia="宋体" w:cs="宋体"/>
          <w:b/>
          <w:bCs/>
          <w:szCs w:val="28"/>
        </w:rPr>
        <w:t>2.经济发展</w:t>
      </w:r>
    </w:p>
    <w:p>
      <w:pPr>
        <w:adjustRightInd w:val="0"/>
        <w:snapToGrid w:val="0"/>
        <w:spacing w:line="360" w:lineRule="auto"/>
        <w:ind w:firstLine="560" w:firstLineChars="200"/>
        <w:rPr>
          <w:szCs w:val="28"/>
        </w:rPr>
      </w:pPr>
      <w:r>
        <w:rPr>
          <w:rFonts w:hint="eastAsia"/>
          <w:szCs w:val="28"/>
        </w:rPr>
        <w:t>在服务国家和地方经济发展方面，学科成员黄国勤教授团队结合国家农业发展战略调整需求，开展了南方稻田冬季复种作物、国家公园建设等研究，研究成果在万年、余江、上饶等多地推广使用，产生良好的经济效益。学科成员王淑彬、杨文亭等长期从事红壤旱地作物高产高效研究，其中玉米|</w:t>
      </w:r>
      <w:r>
        <w:rPr>
          <w:szCs w:val="28"/>
        </w:rPr>
        <w:t>|</w:t>
      </w:r>
      <w:r>
        <w:rPr>
          <w:rFonts w:hint="eastAsia"/>
          <w:szCs w:val="28"/>
        </w:rPr>
        <w:t>大豆间作种植模式研究不但契合了国家振兴大豆产业的需求，由于甜玉米的高价值，同时还有力助推乡村振兴，助力和美乡村建设。</w:t>
      </w:r>
    </w:p>
    <w:p>
      <w:pPr>
        <w:adjustRightInd w:val="0"/>
        <w:snapToGrid w:val="0"/>
        <w:spacing w:line="360" w:lineRule="auto"/>
        <w:ind w:firstLine="560" w:firstLineChars="200"/>
        <w:rPr>
          <w:rFonts w:cs="宋体"/>
          <w:color w:val="000000"/>
          <w:szCs w:val="28"/>
        </w:rPr>
      </w:pPr>
      <w:r>
        <w:rPr>
          <w:rFonts w:hint="eastAsia"/>
          <w:szCs w:val="28"/>
        </w:rPr>
        <w:t>在行业人才培训方面，本学位点专家教师借助省现代农业产业体系、科技特派员等平台积极深入农业生产一线，赴实地或利用网络直播技术开展相关技术和理论培训指导。此外，学科成员多次受邀赴江西省各区县农村、合作社、企业等处进行农业生产指导，解决当地实际生产问题。</w:t>
      </w:r>
    </w:p>
    <w:p>
      <w:pPr>
        <w:ind w:firstLine="562" w:firstLineChars="200"/>
        <w:rPr>
          <w:rFonts w:cs="宋体"/>
          <w:b/>
          <w:bCs/>
          <w:szCs w:val="28"/>
        </w:rPr>
      </w:pPr>
      <w:r>
        <w:rPr>
          <w:rFonts w:hint="eastAsia" w:cs="宋体"/>
          <w:b/>
          <w:bCs/>
          <w:szCs w:val="28"/>
        </w:rPr>
        <w:t>3.文化建设</w:t>
      </w:r>
    </w:p>
    <w:p>
      <w:pPr>
        <w:spacing w:line="360" w:lineRule="auto"/>
        <w:ind w:firstLine="560" w:firstLineChars="200"/>
        <w:rPr>
          <w:szCs w:val="28"/>
        </w:rPr>
      </w:pPr>
      <w:r>
        <w:rPr>
          <w:rFonts w:hint="eastAsia"/>
          <w:szCs w:val="28"/>
        </w:rPr>
        <w:t>在文化宣传方面，本学位点教师利用承担的课程教学机会，积极开展课程思政教学，引导学生学农、知农、爱农，提高文化认同感和民族自信心。</w:t>
      </w:r>
    </w:p>
    <w:p>
      <w:pPr>
        <w:spacing w:line="360" w:lineRule="auto"/>
        <w:ind w:firstLine="560" w:firstLineChars="200"/>
        <w:rPr>
          <w:szCs w:val="28"/>
          <w:highlight w:val="yellow"/>
        </w:rPr>
      </w:pPr>
      <w:r>
        <w:rPr>
          <w:rFonts w:hint="eastAsia"/>
          <w:szCs w:val="28"/>
        </w:rPr>
        <w:t>在学术组织方面，学科牵头成立了江西省高校生态学学科联盟，黄国勤教授任理事长，每年定期组织江西省生态经济学会和江西省高校生态学学科联盟论坛。黄国勤教授现兼任首届国际稻作发展论坛（International Forum on Rice Development）理事会理事、国际农田生态种养发展论坛（International Development Forum for Farmland Eco-Production）第一届理事会常务理事，被聘为3种国际学术期刊（</w:t>
      </w:r>
      <w:r>
        <w:rPr>
          <w:rFonts w:hint="eastAsia"/>
          <w:i/>
          <w:szCs w:val="28"/>
        </w:rPr>
        <w:t>American Journal of Agriculture and Forestry，international Journal of Botanical Research，</w:t>
      </w:r>
      <w:r>
        <w:rPr>
          <w:i/>
          <w:szCs w:val="28"/>
        </w:rPr>
        <w:t>Research in Ecology</w:t>
      </w:r>
      <w:r>
        <w:rPr>
          <w:rFonts w:hint="eastAsia"/>
          <w:szCs w:val="28"/>
        </w:rPr>
        <w:t>）编委；学科多名成员和学科多名骨干成员担任New Phytologist, Molecular Ecology等国际学术期刊审稿人。</w:t>
      </w:r>
    </w:p>
    <w:p>
      <w:pPr>
        <w:spacing w:line="360" w:lineRule="auto"/>
        <w:ind w:firstLine="560" w:firstLineChars="200"/>
        <w:rPr>
          <w:rFonts w:cs="宋体"/>
          <w:color w:val="000000"/>
          <w:szCs w:val="28"/>
        </w:rPr>
      </w:pPr>
      <w:r>
        <w:rPr>
          <w:rFonts w:hint="eastAsia"/>
          <w:szCs w:val="28"/>
        </w:rPr>
        <w:t>学科结合国家或江西省的重大发展战略开展科学普及、行业培训和社会公益活动。学科成员多次深入农业生产一线，以科技特派团、试验基地等作为推介，赴实地或利用网络直播技术开展有关农业生产技术、农民素质教育等培训，累计培训人员300余人次。</w:t>
      </w:r>
    </w:p>
    <w:p>
      <w:pPr>
        <w:ind w:firstLine="562" w:firstLineChars="200"/>
        <w:rPr>
          <w:rFonts w:cs="宋体"/>
          <w:b/>
          <w:bCs/>
          <w:szCs w:val="28"/>
        </w:rPr>
      </w:pPr>
      <w:r>
        <w:rPr>
          <w:rFonts w:hint="eastAsia" w:cs="宋体"/>
          <w:b/>
          <w:bCs/>
          <w:szCs w:val="28"/>
        </w:rPr>
        <w:t>4.服务社会典型案例</w:t>
      </w:r>
    </w:p>
    <w:p>
      <w:pPr>
        <w:pStyle w:val="2"/>
        <w:spacing w:line="360" w:lineRule="auto"/>
        <w:ind w:firstLine="560"/>
        <w:rPr>
          <w:rFonts w:ascii="Times New Roman" w:hAnsi="Times New Roman" w:eastAsia="宋体" w:cs="宋体"/>
          <w:szCs w:val="28"/>
        </w:rPr>
      </w:pPr>
      <w:r>
        <w:rPr>
          <w:rFonts w:hint="eastAsia" w:ascii="Times New Roman" w:hAnsi="Times New Roman" w:eastAsia="宋体" w:cs="宋体"/>
          <w:szCs w:val="28"/>
        </w:rPr>
        <w:t>案例一：创新科学研究，引领行业发展</w:t>
      </w:r>
    </w:p>
    <w:p>
      <w:pPr>
        <w:spacing w:line="360" w:lineRule="auto"/>
        <w:ind w:firstLine="560" w:firstLineChars="200"/>
        <w:rPr>
          <w:szCs w:val="28"/>
        </w:rPr>
      </w:pPr>
      <w:r>
        <w:rPr>
          <w:rFonts w:hint="eastAsia"/>
          <w:szCs w:val="28"/>
        </w:rPr>
        <w:t>可持续生态学研究方向在黄国勤二级教授带领下，近3年获得国家自然科学基金6项，主持在研国家重点研发课题和子课题各1项，由黄国勤教授作为副主持人完成的国家自然科学基金重点项目在广西红壤肥力演变规律、红壤生态功能提升、红壤生态学学科体系建设等方面进行了一系列创新性研究，取得了丰硕成果，获得了广西壮族自治区2019年度科技进步奖二等奖。植物生态学研究方向在张志勇二级教授带领下，近3年获得国家自然科学基金7项，获得江西省主要学科学术和技术带头人（领军人才）培养计划项目1项。该研究方向系统开展了中国亚热带不同植被类型代表植物的谱系地理和遗传结构，阐明了晚第三纪以来地质气候变化对中国亚热带植被变化、植物物种形成以及植物遗传多样性分布的深刻影响。这些成果得到国内外同行的广泛认可，获得了江西省2020年度自然科学奖一等奖。李波教授潜心唇形科系统分类研究。2019年5月在植物学一区期刊Journal of Systematics and Evolution发表了被子植物新科美丽桐科（Wightiaceae），并建立了透骨草科（Phrymaceae）新分类系统。2021年1月与合作者在生物学1区Top期刊BMC Biology发表了唇形科族级新分类系统，研究海报已被翻译为12种语言在国际上广泛传播，该成果也被评为中国科学院昆明植物所2021年度十大进展。</w:t>
      </w:r>
    </w:p>
    <w:p>
      <w:pPr>
        <w:spacing w:line="360" w:lineRule="auto"/>
        <w:ind w:firstLine="560" w:firstLineChars="200"/>
        <w:rPr>
          <w:rFonts w:cs="宋体"/>
          <w:szCs w:val="28"/>
        </w:rPr>
      </w:pPr>
      <w:r>
        <w:rPr>
          <w:rFonts w:hint="eastAsia" w:cs="宋体"/>
          <w:szCs w:val="28"/>
        </w:rPr>
        <w:t>案例二：强化人才培养，促进持续发展</w:t>
      </w:r>
    </w:p>
    <w:p>
      <w:pPr>
        <w:spacing w:line="360" w:lineRule="auto"/>
        <w:ind w:firstLine="560" w:firstLineChars="200"/>
        <w:rPr>
          <w:szCs w:val="28"/>
        </w:rPr>
      </w:pPr>
      <w:r>
        <w:rPr>
          <w:rFonts w:hint="eastAsia"/>
          <w:szCs w:val="28"/>
        </w:rPr>
        <w:t>近年来，学科大力引进人才，其中，从中国科学院昆明植物所、亚热带农业生态研究所、北京植物所和中国农业大学共引进优秀博士4名，学科成员博士研究生学历占比达82%。学科积极培养青年教师队伍，植物生态学方向负责人张志勇教授非常重视团队建设，构建了年富力强（70后+80后+90后+若干研究生）的植物多样性研究团队。学科成员范邓妹博士（80后）先后主持3项国家自然科学基金，研究成果发表在Molecular Ecology等主流生态学期刊，2</w:t>
      </w:r>
      <w:r>
        <w:rPr>
          <w:szCs w:val="28"/>
        </w:rPr>
        <w:t>020</w:t>
      </w:r>
      <w:r>
        <w:rPr>
          <w:rFonts w:hint="eastAsia"/>
          <w:szCs w:val="28"/>
        </w:rPr>
        <w:t>年获聘江西省青年井岗学者，2021年获评教授。寇一翾博士先后主持2项国家自然科学基金，研究成果在生态学顶刊Molecular Biology and Evolution等发表，2021年获评副研究员，并入选首批江西省高层次高技能领军人才培养工程。阳亿和王美霞博士2022年分别获批国家自然科学基金。80、90后教师逐步成长为核心骨干，在植株生态学研究领域建立了有特色和优势的研究方向。</w:t>
      </w:r>
    </w:p>
    <w:p>
      <w:pPr>
        <w:spacing w:line="360" w:lineRule="auto"/>
        <w:ind w:firstLine="560" w:firstLineChars="200"/>
        <w:rPr>
          <w:szCs w:val="28"/>
        </w:rPr>
      </w:pPr>
      <w:r>
        <w:rPr>
          <w:rFonts w:hint="eastAsia"/>
          <w:szCs w:val="28"/>
        </w:rPr>
        <w:t>在研究生培养方面，学科努力提高研究生培养质量，按学科方向组建导师团队认真负责，悉心指导。高低年级研究生间建立了良好的传、帮、带氛围。近3年来，学科共毕业硕士研究生15人，累计发表论文30余篇。其中，黄国勤教授指导硕士研究生钟川发表论文6篇，包括生态环境主流期刊</w:t>
      </w:r>
      <w:r>
        <w:rPr>
          <w:szCs w:val="28"/>
        </w:rPr>
        <w:t>Environmental Pollution</w:t>
      </w:r>
      <w:r>
        <w:rPr>
          <w:rFonts w:hint="eastAsia"/>
          <w:szCs w:val="28"/>
        </w:rPr>
        <w:t>，学位论文获评江西农业大学优秀学位论文。专业学位研究生封亮一作发表论文10篇，学位论文获评江西农业大学优秀学位论文。2022届毕业生李娜的研究成果发表在中科院1区期刊</w:t>
      </w:r>
      <w:r>
        <w:rPr>
          <w:rFonts w:hint="eastAsia" w:cs="宋体"/>
          <w:szCs w:val="28"/>
        </w:rPr>
        <w:t>《</w:t>
      </w:r>
      <w:r>
        <w:rPr>
          <w:rFonts w:cs="Times New Roman"/>
          <w:szCs w:val="28"/>
        </w:rPr>
        <w:t>Microbiology Spectrum</w:t>
      </w:r>
      <w:r>
        <w:rPr>
          <w:rFonts w:hint="eastAsia" w:cs="宋体"/>
          <w:szCs w:val="28"/>
        </w:rPr>
        <w:t>》。</w:t>
      </w:r>
      <w:r>
        <w:rPr>
          <w:rFonts w:hint="eastAsia"/>
          <w:szCs w:val="28"/>
        </w:rPr>
        <w:t>研究生毕业就业率达1</w:t>
      </w:r>
      <w:r>
        <w:rPr>
          <w:szCs w:val="28"/>
        </w:rPr>
        <w:t>00%</w:t>
      </w:r>
      <w:r>
        <w:rPr>
          <w:rFonts w:hint="eastAsia"/>
          <w:szCs w:val="28"/>
        </w:rPr>
        <w:t>。</w:t>
      </w:r>
    </w:p>
    <w:p>
      <w:pPr>
        <w:pStyle w:val="2"/>
        <w:ind w:firstLine="560"/>
      </w:pPr>
    </w:p>
    <w:p>
      <w:pPr>
        <w:spacing w:line="360" w:lineRule="auto"/>
        <w:ind w:firstLine="643" w:firstLineChars="200"/>
        <w:rPr>
          <w:rFonts w:cs="宋体"/>
          <w:color w:val="000000"/>
          <w:szCs w:val="28"/>
        </w:rPr>
      </w:pPr>
      <w:r>
        <w:rPr>
          <w:rFonts w:hint="eastAsia"/>
          <w:b/>
          <w:bCs/>
          <w:sz w:val="32"/>
          <w:szCs w:val="24"/>
        </w:rPr>
        <w:t>二、学位授权点建设存在的问题</w:t>
      </w:r>
    </w:p>
    <w:p>
      <w:pPr>
        <w:spacing w:line="360" w:lineRule="auto"/>
        <w:ind w:firstLine="560" w:firstLineChars="200"/>
        <w:rPr>
          <w:szCs w:val="28"/>
        </w:rPr>
      </w:pPr>
      <w:r>
        <w:rPr>
          <w:rFonts w:hint="eastAsia"/>
          <w:szCs w:val="28"/>
        </w:rPr>
        <w:t xml:space="preserve">1.研究生招生规模受到一定限制。近年来学科在研究生培养人数方面无明显变化，学硕人数4-6人/年，增加了专业硕士2-3人/年，规模发展明显受到限制，但培养的质量和成效有明显进步，研究生发表论文的数量和质量均有明显提升。 </w:t>
      </w:r>
    </w:p>
    <w:p>
      <w:pPr>
        <w:spacing w:line="360" w:lineRule="auto"/>
        <w:ind w:firstLine="560" w:firstLineChars="200"/>
        <w:rPr>
          <w:szCs w:val="28"/>
        </w:rPr>
      </w:pPr>
      <w:r>
        <w:rPr>
          <w:rFonts w:hint="eastAsia"/>
          <w:szCs w:val="28"/>
        </w:rPr>
        <w:t>2.学科引进高端人才困难，师资队伍人数偏少。目前有成员17人，博导2人，硕导8人。由于各方面原因，学科近5年共引进优秀博士4人，但有3个学科成员加入其它学科。生态学作为一级学科，学科队伍人数偏少，尤其是引进高端人才困难重重。但学科师资队伍内涵建设成效显著，3年来晋升教授1人，副研究员2人，1人获校聘副教授，1人获评青年井冈学者。</w:t>
      </w:r>
    </w:p>
    <w:p>
      <w:pPr>
        <w:spacing w:line="360" w:lineRule="auto"/>
        <w:ind w:firstLine="560" w:firstLineChars="200"/>
        <w:rPr>
          <w:szCs w:val="28"/>
        </w:rPr>
      </w:pPr>
      <w:r>
        <w:rPr>
          <w:rFonts w:hint="eastAsia"/>
          <w:szCs w:val="28"/>
        </w:rPr>
        <w:t>3.学科平台建设缓慢。学科主要依托作物生理生态与遗传育种教育部重点实验室以及校生态科学中心和亚热带植物多样性实验室，学科暂未突破以生态学申报的省级科研平台，限制了人才培养规模和高层次人才引进。</w:t>
      </w:r>
    </w:p>
    <w:p>
      <w:pPr>
        <w:pStyle w:val="2"/>
        <w:ind w:firstLine="560"/>
      </w:pPr>
    </w:p>
    <w:p>
      <w:pPr>
        <w:spacing w:line="360" w:lineRule="auto"/>
        <w:ind w:firstLine="710"/>
        <w:rPr>
          <w:rFonts w:cs="宋体"/>
          <w:b/>
          <w:bCs/>
          <w:sz w:val="32"/>
          <w:szCs w:val="24"/>
        </w:rPr>
      </w:pPr>
      <w:r>
        <w:rPr>
          <w:rFonts w:hint="eastAsia" w:cs="宋体"/>
          <w:b/>
          <w:bCs/>
          <w:sz w:val="32"/>
          <w:szCs w:val="24"/>
        </w:rPr>
        <w:t>三、下一步建设计划</w:t>
      </w:r>
    </w:p>
    <w:p>
      <w:pPr>
        <w:spacing w:line="360" w:lineRule="auto"/>
        <w:ind w:firstLine="560" w:firstLineChars="200"/>
        <w:rPr>
          <w:bCs/>
          <w:szCs w:val="28"/>
        </w:rPr>
      </w:pPr>
      <w:r>
        <w:rPr>
          <w:rFonts w:hint="eastAsia"/>
          <w:bCs/>
          <w:szCs w:val="28"/>
        </w:rPr>
        <w:t>1.加强人才培养</w:t>
      </w:r>
    </w:p>
    <w:p>
      <w:pPr>
        <w:spacing w:line="360" w:lineRule="auto"/>
        <w:ind w:firstLine="560" w:firstLineChars="200"/>
        <w:rPr>
          <w:szCs w:val="28"/>
        </w:rPr>
      </w:pPr>
      <w:r>
        <w:rPr>
          <w:bCs/>
          <w:szCs w:val="28"/>
        </w:rPr>
        <w:t>秉持“以生为</w:t>
      </w:r>
      <w:r>
        <w:rPr>
          <w:rFonts w:hint="eastAsia"/>
          <w:bCs/>
          <w:szCs w:val="28"/>
        </w:rPr>
        <w:t>本</w:t>
      </w:r>
      <w:r>
        <w:rPr>
          <w:bCs/>
          <w:szCs w:val="28"/>
        </w:rPr>
        <w:t>”的教育理念</w:t>
      </w:r>
      <w:r>
        <w:rPr>
          <w:rFonts w:hint="eastAsia"/>
          <w:bCs/>
          <w:szCs w:val="28"/>
        </w:rPr>
        <w:t>，</w:t>
      </w:r>
      <w:r>
        <w:rPr>
          <w:rFonts w:hint="eastAsia"/>
          <w:szCs w:val="28"/>
        </w:rPr>
        <w:t>提高研究生科研素质和</w:t>
      </w:r>
      <w:r>
        <w:rPr>
          <w:szCs w:val="28"/>
        </w:rPr>
        <w:t>创新</w:t>
      </w:r>
      <w:r>
        <w:rPr>
          <w:rFonts w:hint="eastAsia"/>
          <w:szCs w:val="28"/>
        </w:rPr>
        <w:t>能力</w:t>
      </w:r>
      <w:r>
        <w:rPr>
          <w:szCs w:val="28"/>
        </w:rPr>
        <w:t>。</w:t>
      </w:r>
      <w:r>
        <w:rPr>
          <w:rFonts w:hint="eastAsia"/>
          <w:szCs w:val="28"/>
        </w:rPr>
        <w:t>不断取得更好的成绩来向学院和学校申请更多的研究生培养指标。首先，</w:t>
      </w:r>
      <w:r>
        <w:rPr>
          <w:szCs w:val="28"/>
        </w:rPr>
        <w:t>深化教学改革，</w:t>
      </w:r>
      <w:r>
        <w:rPr>
          <w:rFonts w:hint="eastAsia"/>
          <w:szCs w:val="28"/>
        </w:rPr>
        <w:t>优化课程建设，</w:t>
      </w:r>
      <w:r>
        <w:rPr>
          <w:szCs w:val="28"/>
        </w:rPr>
        <w:t>推进科教融合培养</w:t>
      </w:r>
      <w:r>
        <w:rPr>
          <w:rFonts w:hint="eastAsia"/>
          <w:szCs w:val="28"/>
        </w:rPr>
        <w:t>。其次，加强导师团队对研究生的多对一或一对一指导，尽早让研究生参与科学研究，掌握试验技术，培养文献阅读和科技论文写作能力，鼓励研究生积极参加国内外学术交流。</w:t>
      </w:r>
    </w:p>
    <w:p>
      <w:pPr>
        <w:spacing w:line="360" w:lineRule="auto"/>
        <w:ind w:firstLine="560" w:firstLineChars="200"/>
        <w:rPr>
          <w:szCs w:val="28"/>
        </w:rPr>
      </w:pPr>
      <w:r>
        <w:rPr>
          <w:rFonts w:hint="eastAsia"/>
          <w:szCs w:val="28"/>
        </w:rPr>
        <w:t>根据学校相关政策，有突出贡献的导师可以分配更多的研究生名额。加强师资队伍建设，不断增加研究生导师人数和质量是增加学科研究生规模的有效途径。</w:t>
      </w:r>
    </w:p>
    <w:p>
      <w:pPr>
        <w:spacing w:line="360" w:lineRule="auto"/>
        <w:ind w:firstLine="560" w:firstLineChars="200"/>
        <w:rPr>
          <w:bCs/>
          <w:szCs w:val="28"/>
        </w:rPr>
      </w:pPr>
      <w:r>
        <w:rPr>
          <w:rFonts w:hint="eastAsia"/>
          <w:bCs/>
          <w:szCs w:val="28"/>
        </w:rPr>
        <w:t>2.加强师资队伍建设</w:t>
      </w:r>
    </w:p>
    <w:p>
      <w:pPr>
        <w:spacing w:line="360" w:lineRule="auto"/>
        <w:ind w:firstLine="560" w:firstLineChars="200"/>
        <w:rPr>
          <w:szCs w:val="28"/>
        </w:rPr>
      </w:pPr>
      <w:r>
        <w:rPr>
          <w:rFonts w:hint="eastAsia"/>
          <w:szCs w:val="28"/>
        </w:rPr>
        <w:t>学科</w:t>
      </w:r>
      <w:r>
        <w:rPr>
          <w:szCs w:val="28"/>
        </w:rPr>
        <w:t>资源分配</w:t>
      </w:r>
      <w:r>
        <w:rPr>
          <w:rFonts w:hint="eastAsia"/>
          <w:szCs w:val="28"/>
        </w:rPr>
        <w:t>合理聚焦，培养与引进齐头并进</w:t>
      </w:r>
      <w:r>
        <w:rPr>
          <w:szCs w:val="28"/>
        </w:rPr>
        <w:t>。</w:t>
      </w:r>
      <w:r>
        <w:rPr>
          <w:rFonts w:hint="eastAsia"/>
          <w:szCs w:val="28"/>
        </w:rPr>
        <w:t>首先对标国家战略和重大需求，着眼粮食安全和生态安全，发力农业可持续发展和植物多样性保护研究。加强学科点内部交流，积极举办国家基金申报论证会，支持年轻教师积极参加国内外学术会议，提高学科成员科学研究水平和项目立项率，为人才培养和师资队伍建设提供支持。</w:t>
      </w:r>
    </w:p>
    <w:p>
      <w:pPr>
        <w:spacing w:line="360" w:lineRule="auto"/>
        <w:ind w:firstLine="560" w:firstLineChars="200"/>
        <w:rPr>
          <w:szCs w:val="28"/>
        </w:rPr>
      </w:pPr>
      <w:r>
        <w:rPr>
          <w:rFonts w:hint="eastAsia"/>
          <w:szCs w:val="28"/>
        </w:rPr>
        <w:t>其次加强学科研究团队建设，结合内部评价和专家评审机制，聚焦资源优先培养有潜力的骨干教师，助力获得突破性成果，打造学科名片。同时考虑长远发展，讨论并确定培育未来5-10年有潜力的研究方向。</w:t>
      </w:r>
    </w:p>
    <w:p>
      <w:pPr>
        <w:spacing w:line="360" w:lineRule="auto"/>
        <w:ind w:firstLine="560" w:firstLineChars="200"/>
        <w:rPr>
          <w:szCs w:val="28"/>
        </w:rPr>
      </w:pPr>
      <w:r>
        <w:rPr>
          <w:rFonts w:hint="eastAsia"/>
          <w:szCs w:val="28"/>
        </w:rPr>
        <w:t>还需要充分利用国家、省市以及学校的各类高层次人才引进政策，积极主动引进国内外知名大学的高水平人才或科研团队，强化学科师资队伍，提高竞争力和知名度。</w:t>
      </w:r>
    </w:p>
    <w:p>
      <w:pPr>
        <w:spacing w:line="360" w:lineRule="auto"/>
        <w:ind w:firstLine="560" w:firstLineChars="200"/>
        <w:rPr>
          <w:bCs/>
          <w:szCs w:val="28"/>
        </w:rPr>
      </w:pPr>
      <w:r>
        <w:rPr>
          <w:rFonts w:hint="eastAsia"/>
          <w:bCs/>
          <w:szCs w:val="28"/>
        </w:rPr>
        <w:t>3.加强学科平台建设</w:t>
      </w:r>
    </w:p>
    <w:p>
      <w:pPr>
        <w:spacing w:line="360" w:lineRule="auto"/>
        <w:ind w:firstLine="560" w:firstLineChars="200"/>
        <w:rPr>
          <w:szCs w:val="28"/>
        </w:rPr>
      </w:pPr>
      <w:r>
        <w:rPr>
          <w:rFonts w:hint="eastAsia"/>
          <w:szCs w:val="28"/>
        </w:rPr>
        <w:t>凝练学科特色，加强平台建设，服务地方发展。加大对实验室平台的投入建设力度，全面提高学科点的科研硬件条件，积极申报省级科研平台。</w:t>
      </w:r>
    </w:p>
    <w:p>
      <w:pPr>
        <w:spacing w:line="360" w:lineRule="auto"/>
        <w:ind w:firstLine="560" w:firstLineChars="200"/>
        <w:rPr>
          <w:szCs w:val="28"/>
        </w:rPr>
      </w:pPr>
      <w:r>
        <w:rPr>
          <w:rFonts w:hint="eastAsia"/>
          <w:szCs w:val="28"/>
        </w:rPr>
        <w:t>积极选派青年教师和研究生申报国家、省市和学校相关项目赴国外学习或进修，组织教师和研究生积极参加线上、线下生态学相关的国际学术会议，争取参与国际合作项目，申报建设国际合作平台。</w:t>
      </w:r>
    </w:p>
    <w:p>
      <w:pPr>
        <w:adjustRightInd w:val="0"/>
        <w:snapToGrid w:val="0"/>
        <w:spacing w:line="360" w:lineRule="auto"/>
        <w:ind w:firstLine="480" w:firstLineChars="200"/>
        <w:rPr>
          <w:sz w:val="24"/>
          <w:szCs w:val="24"/>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18"/>
      </w:pPr>
      <w:r>
        <w:separator/>
      </w:r>
    </w:p>
  </w:endnote>
  <w:endnote w:type="continuationSeparator" w:id="1">
    <w:p>
      <w:pPr>
        <w:spacing w:line="240" w:lineRule="auto"/>
        <w:ind w:firstLine="61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altName w:val="微软雅黑"/>
    <w:panose1 w:val="00000000000000000000"/>
    <w:charset w:val="86"/>
    <w:family w:val="auto"/>
    <w:pitch w:val="default"/>
    <w:sig w:usb0="00000000" w:usb1="00000000" w:usb2="00000012" w:usb3="00000000" w:csb0="00040001" w:csb1="00000000"/>
  </w:font>
  <w:font w:name="方正小标宋简体">
    <w:panose1 w:val="02000000000000000000"/>
    <w:charset w:val="86"/>
    <w:family w:val="script"/>
    <w:pitch w:val="default"/>
    <w:sig w:usb0="00000001" w:usb1="08000000" w:usb2="00000000" w:usb3="00000000" w:csb0="00040000" w:csb1="00000000"/>
    <w:embedRegular r:id="rId1" w:fontKey="{F40D96A0-A8E0-42EA-A2F3-FE0FCBB3DCA6}"/>
  </w:font>
  <w:font w:name="楷体_GB2312">
    <w:altName w:val="楷体"/>
    <w:panose1 w:val="00000000000000000000"/>
    <w:charset w:val="86"/>
    <w:family w:val="modern"/>
    <w:pitch w:val="default"/>
    <w:sig w:usb0="00000000" w:usb1="00000000" w:usb2="00000010" w:usb3="00000000" w:csb0="00040000" w:csb1="00000000"/>
    <w:embedRegular r:id="rId2" w:fontKey="{602EF43A-5332-4370-81DE-E46818C6FBC7}"/>
  </w:font>
  <w:font w:name="MS Gothic">
    <w:panose1 w:val="020B0609070205080204"/>
    <w:charset w:val="80"/>
    <w:family w:val="modern"/>
    <w:pitch w:val="default"/>
    <w:sig w:usb0="E00002FF" w:usb1="6AC7FDFB" w:usb2="08000012" w:usb3="00000000" w:csb0="4002009F" w:csb1="DFD70000"/>
    <w:embedRegular r:id="rId3" w:fontKey="{E6618C65-2306-49A1-AADD-191B43314AF8}"/>
  </w:font>
  <w:font w:name="仿宋_GB2312">
    <w:altName w:val="仿宋"/>
    <w:panose1 w:val="00000000000000000000"/>
    <w:charset w:val="86"/>
    <w:family w:val="modern"/>
    <w:pitch w:val="default"/>
    <w:sig w:usb0="00000000" w:usb1="00000000" w:usb2="00000000" w:usb3="00000000" w:csb0="00040000" w:csb1="00000000"/>
    <w:embedRegular r:id="rId4" w:fontKey="{4F0AFAC1-775D-4600-B3DE-39F2463AE4F1}"/>
  </w:font>
  <w:font w:name="微软雅黑">
    <w:panose1 w:val="020B0503020204020204"/>
    <w:charset w:val="86"/>
    <w:family w:val="swiss"/>
    <w:pitch w:val="default"/>
    <w:sig w:usb0="80000287" w:usb1="2ACF3C50" w:usb2="00000016" w:usb3="00000000" w:csb0="0004001F" w:csb1="00000000"/>
    <w:embedRegular r:id="rId5" w:fontKey="{C1645838-91E5-4217-8769-9D1AE90809A5}"/>
  </w:font>
  <w:font w:name="仿宋">
    <w:panose1 w:val="02010609060101010101"/>
    <w:charset w:val="86"/>
    <w:family w:val="modern"/>
    <w:pitch w:val="default"/>
    <w:sig w:usb0="800002BF" w:usb1="38CF7CFA" w:usb2="00000016" w:usb3="00000000" w:csb0="00040001" w:csb1="00000000"/>
    <w:embedRegular r:id="rId6" w:fontKey="{F1371AD0-A5CF-4B91-8EB6-B1C9CCF5BF61}"/>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619"/>
      <w:jc w:val="center"/>
      <w:textAlignment w:val="baseline"/>
      <w:rPr>
        <w:rStyle w:val="11"/>
        <w:rFonts w:ascii="Times New Roman" w:hAnsi="Times New Roman" w:eastAsia="宋体"/>
        <w:sz w:val="28"/>
        <w:szCs w:val="28"/>
      </w:rPr>
    </w:pPr>
  </w:p>
  <w:p>
    <w:pPr>
      <w:pStyle w:val="4"/>
      <w:ind w:firstLine="619"/>
      <w:jc w:val="center"/>
      <w:textAlignment w:val="baseline"/>
      <w:rPr>
        <w:rStyle w:val="11"/>
        <w:rFonts w:ascii="Times New Roman" w:hAnsi="Times New Roman" w:eastAsia="宋体"/>
        <w:sz w:val="28"/>
        <w:szCs w:val="28"/>
      </w:rPr>
    </w:pPr>
    <w:r>
      <w:rPr>
        <w:rStyle w:val="11"/>
        <w:rFonts w:ascii="Times New Roman" w:hAnsi="Times New Roman" w:eastAsia="宋体"/>
        <w:sz w:val="28"/>
        <w:szCs w:val="28"/>
      </w:rPr>
      <w:pict>
        <v:shape id="文本框 44" o:spid="_x0000_s2049"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7uOX0gAAAAUBAAAPAAAAAAAAAAEAIAAAACIAAABkcnMvZG93&#10;bnJldi54bWxQSwECFAAUAAAACACHTuJA+OBYiM0BAACYAwAADgAAAAAAAAABACAAAAAhAQAAZHJz&#10;L2Uyb0RvYy54bWxQSwUGAAAAAAYABgBZAQAAYAUAAAAA&#10;">
          <v:path/>
          <v:fill on="f" focussize="0,0"/>
          <v:stroke on="f" weight="1.25pt" joinstyle="miter"/>
          <v:imagedata o:title=""/>
          <o:lock v:ext="edit"/>
          <v:textbox inset="0mm,0mm,0mm,0mm">
            <w:txbxContent>
              <w:p>
                <w:pPr>
                  <w:pStyle w:val="4"/>
                  <w:ind w:firstLine="619"/>
                  <w:jc w:val="center"/>
                  <w:textAlignment w:val="baseline"/>
                  <w:rPr>
                    <w:rStyle w:val="11"/>
                    <w:rFonts w:ascii="仿宋_GB2312" w:hAnsi="仿宋_GB2312" w:eastAsia="仿宋_GB2312"/>
                    <w:sz w:val="28"/>
                    <w:szCs w:val="28"/>
                  </w:rPr>
                </w:pPr>
              </w:p>
              <w:p>
                <w:pPr>
                  <w:ind w:firstLine="707"/>
                  <w:textAlignment w:val="baseline"/>
                  <w:rPr>
                    <w:rStyle w:val="11"/>
                    <w:rFonts w:ascii="Times New Roman" w:hAnsi="Times New Roman" w:eastAsia="宋体"/>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1129"/>
      <w:docPartObj>
        <w:docPartGallery w:val="AutoText"/>
      </w:docPartObj>
    </w:sdtPr>
    <w:sdtContent>
      <w:p>
        <w:pPr>
          <w:pStyle w:val="4"/>
          <w:ind w:firstLine="398"/>
          <w:jc w:val="center"/>
        </w:pPr>
        <w:r>
          <w:fldChar w:fldCharType="begin"/>
        </w:r>
        <w:r>
          <w:instrText xml:space="preserve"> PAGE   \* MERGEFORMAT </w:instrText>
        </w:r>
        <w:r>
          <w:fldChar w:fldCharType="separate"/>
        </w:r>
        <w:r>
          <w:rPr>
            <w:lang w:val="zh-CN"/>
          </w:rPr>
          <w:t>31</w:t>
        </w:r>
        <w:r>
          <w:rPr>
            <w:lang w:val="zh-CN"/>
          </w:rPr>
          <w:fldChar w:fldCharType="end"/>
        </w:r>
      </w:p>
    </w:sdtContent>
  </w:sdt>
  <w:p>
    <w:pPr>
      <w:pStyle w:val="4"/>
      <w:ind w:firstLine="3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9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18"/>
      </w:pPr>
      <w:r>
        <w:separator/>
      </w:r>
    </w:p>
  </w:footnote>
  <w:footnote w:type="continuationSeparator" w:id="1">
    <w:p>
      <w:pPr>
        <w:spacing w:line="240" w:lineRule="auto"/>
        <w:ind w:firstLine="618"/>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ind w:firstLine="39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64" w:firstLine="0" w:firstLineChars="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9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4619FB"/>
    <w:multiLevelType w:val="singleLevel"/>
    <w:tmpl w:val="E74619F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TrueTypeFonts/>
  <w:saveSubset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llZjYwZTBiZjkwZGRkMWMyZDg2YTMyNGRmOWFiMTYifQ=="/>
  </w:docVars>
  <w:rsids>
    <w:rsidRoot w:val="07B74D75"/>
    <w:rsid w:val="000F5CBB"/>
    <w:rsid w:val="001E0E0A"/>
    <w:rsid w:val="002071E1"/>
    <w:rsid w:val="00243FEF"/>
    <w:rsid w:val="002D6574"/>
    <w:rsid w:val="002D7C7C"/>
    <w:rsid w:val="002E7FF6"/>
    <w:rsid w:val="0034241C"/>
    <w:rsid w:val="00384B8A"/>
    <w:rsid w:val="003959B5"/>
    <w:rsid w:val="00466A60"/>
    <w:rsid w:val="004E77B3"/>
    <w:rsid w:val="005357E0"/>
    <w:rsid w:val="005517C3"/>
    <w:rsid w:val="00552466"/>
    <w:rsid w:val="005D6AF8"/>
    <w:rsid w:val="005E4508"/>
    <w:rsid w:val="005F409A"/>
    <w:rsid w:val="006D7CBF"/>
    <w:rsid w:val="00762FCC"/>
    <w:rsid w:val="007B6D2B"/>
    <w:rsid w:val="007C72DC"/>
    <w:rsid w:val="0083249F"/>
    <w:rsid w:val="00852DFD"/>
    <w:rsid w:val="008B1F69"/>
    <w:rsid w:val="008F643B"/>
    <w:rsid w:val="009051FE"/>
    <w:rsid w:val="00944A09"/>
    <w:rsid w:val="00956F0E"/>
    <w:rsid w:val="00A04FE8"/>
    <w:rsid w:val="00AD7C04"/>
    <w:rsid w:val="00B75D5F"/>
    <w:rsid w:val="00BC4E75"/>
    <w:rsid w:val="00C1644F"/>
    <w:rsid w:val="00C1670D"/>
    <w:rsid w:val="00D541D1"/>
    <w:rsid w:val="00D70817"/>
    <w:rsid w:val="00DB4120"/>
    <w:rsid w:val="00F50408"/>
    <w:rsid w:val="026E307A"/>
    <w:rsid w:val="0318157D"/>
    <w:rsid w:val="04E10A25"/>
    <w:rsid w:val="07B74D75"/>
    <w:rsid w:val="08034801"/>
    <w:rsid w:val="08515E2F"/>
    <w:rsid w:val="0B240425"/>
    <w:rsid w:val="0B3211BB"/>
    <w:rsid w:val="0B731985"/>
    <w:rsid w:val="0DA55EBE"/>
    <w:rsid w:val="0E6341D2"/>
    <w:rsid w:val="0F704352"/>
    <w:rsid w:val="102F7D69"/>
    <w:rsid w:val="11881CA7"/>
    <w:rsid w:val="125949A5"/>
    <w:rsid w:val="13D43918"/>
    <w:rsid w:val="176D5535"/>
    <w:rsid w:val="177F473C"/>
    <w:rsid w:val="17E5114D"/>
    <w:rsid w:val="1A7A6085"/>
    <w:rsid w:val="1C5A1A57"/>
    <w:rsid w:val="1F4622C0"/>
    <w:rsid w:val="1F61509E"/>
    <w:rsid w:val="20172807"/>
    <w:rsid w:val="275859A0"/>
    <w:rsid w:val="27D2017D"/>
    <w:rsid w:val="28F62A93"/>
    <w:rsid w:val="2A5138F3"/>
    <w:rsid w:val="2AF21C68"/>
    <w:rsid w:val="2E4E2618"/>
    <w:rsid w:val="2E5661D5"/>
    <w:rsid w:val="31016418"/>
    <w:rsid w:val="32BE1038"/>
    <w:rsid w:val="36746EE3"/>
    <w:rsid w:val="399C2AEC"/>
    <w:rsid w:val="3E5D5002"/>
    <w:rsid w:val="3F877C43"/>
    <w:rsid w:val="403F1C49"/>
    <w:rsid w:val="40D53CF4"/>
    <w:rsid w:val="4357608D"/>
    <w:rsid w:val="43646835"/>
    <w:rsid w:val="43970256"/>
    <w:rsid w:val="4594005E"/>
    <w:rsid w:val="47244626"/>
    <w:rsid w:val="479579BB"/>
    <w:rsid w:val="4A927B24"/>
    <w:rsid w:val="4ED80FF1"/>
    <w:rsid w:val="4EDE07E9"/>
    <w:rsid w:val="518463C1"/>
    <w:rsid w:val="547F0AAE"/>
    <w:rsid w:val="5522677A"/>
    <w:rsid w:val="553C3DAB"/>
    <w:rsid w:val="553D7E00"/>
    <w:rsid w:val="55C8213D"/>
    <w:rsid w:val="578E1A66"/>
    <w:rsid w:val="57AB0DEC"/>
    <w:rsid w:val="57CC1813"/>
    <w:rsid w:val="57FD73D2"/>
    <w:rsid w:val="58FD759E"/>
    <w:rsid w:val="594D1384"/>
    <w:rsid w:val="596A4F3B"/>
    <w:rsid w:val="596B3E9E"/>
    <w:rsid w:val="5AA90C8E"/>
    <w:rsid w:val="5E1C409B"/>
    <w:rsid w:val="628F7C32"/>
    <w:rsid w:val="62D1763C"/>
    <w:rsid w:val="63F35EC1"/>
    <w:rsid w:val="64FA1701"/>
    <w:rsid w:val="6B7B2FD8"/>
    <w:rsid w:val="6D18386D"/>
    <w:rsid w:val="6D5E3B3F"/>
    <w:rsid w:val="6EE5227A"/>
    <w:rsid w:val="6F6E6EBC"/>
    <w:rsid w:val="6FD74999"/>
    <w:rsid w:val="764D4987"/>
    <w:rsid w:val="77000835"/>
    <w:rsid w:val="7EFF05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560" w:lineRule="exact"/>
      <w:ind w:firstLine="221" w:firstLineChars="221"/>
      <w:jc w:val="both"/>
    </w:pPr>
    <w:rPr>
      <w:rFonts w:ascii="Times New Roman" w:hAnsi="Times New Roman" w:eastAsia="宋体" w:cstheme="minorBidi"/>
      <w:kern w:val="2"/>
      <w:sz w:val="28"/>
      <w:szCs w:val="22"/>
      <w:lang w:val="en-US" w:eastAsia="zh-CN" w:bidi="ar-SA"/>
    </w:rPr>
  </w:style>
  <w:style w:type="paragraph" w:styleId="2">
    <w:name w:val="heading 3"/>
    <w:basedOn w:val="1"/>
    <w:next w:val="1"/>
    <w:qFormat/>
    <w:uiPriority w:val="9"/>
    <w:pPr>
      <w:spacing w:line="600" w:lineRule="exact"/>
      <w:ind w:firstLine="640" w:firstLineChars="200"/>
      <w:outlineLvl w:val="2"/>
    </w:pPr>
    <w:rPr>
      <w:rFonts w:ascii="黑体" w:hAnsi="黑体" w:eastAsia="黑体"/>
      <w:color w:val="000000"/>
      <w:szCs w:val="32"/>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uiPriority w:val="0"/>
    <w:pPr>
      <w:spacing w:line="240" w:lineRule="auto"/>
    </w:pPr>
    <w:rPr>
      <w:sz w:val="18"/>
      <w:szCs w:val="18"/>
    </w:rPr>
  </w:style>
  <w:style w:type="paragraph" w:styleId="4">
    <w:name w:val="footer"/>
    <w:basedOn w:val="1"/>
    <w:link w:val="14"/>
    <w:unhideWhenUsed/>
    <w:qFormat/>
    <w:uiPriority w:val="99"/>
    <w:pPr>
      <w:tabs>
        <w:tab w:val="center" w:pos="4153"/>
        <w:tab w:val="right" w:pos="8306"/>
      </w:tabs>
      <w:snapToGrid w:val="0"/>
      <w:spacing w:line="240" w:lineRule="atLeast"/>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table" w:styleId="7">
    <w:name w:val="Table Grid"/>
    <w:basedOn w:val="6"/>
    <w:qFormat/>
    <w:uiPriority w:val="0"/>
    <w:pPr>
      <w:widowControl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qFormat/>
    <w:uiPriority w:val="0"/>
  </w:style>
  <w:style w:type="character" w:styleId="10">
    <w:name w:val="Hyperlink"/>
    <w:basedOn w:val="8"/>
    <w:unhideWhenUsed/>
    <w:qFormat/>
    <w:uiPriority w:val="99"/>
    <w:rPr>
      <w:color w:val="0563C1" w:themeColor="hyperlink"/>
      <w:u w:val="single"/>
    </w:rPr>
  </w:style>
  <w:style w:type="character" w:customStyle="1" w:styleId="11">
    <w:name w:val="NormalCharacter"/>
    <w:semiHidden/>
    <w:qFormat/>
    <w:uiPriority w:val="0"/>
    <w:rPr>
      <w:rFonts w:ascii="Calibri" w:hAnsi="Calibri" w:eastAsia="方正仿宋简体" w:cs="Times New Roman"/>
      <w:kern w:val="2"/>
      <w:sz w:val="32"/>
      <w:szCs w:val="24"/>
      <w:lang w:val="en-US" w:eastAsia="zh-CN" w:bidi="ar-SA"/>
    </w:rPr>
  </w:style>
  <w:style w:type="paragraph" w:customStyle="1" w:styleId="12">
    <w:name w:val="列表段落1"/>
    <w:basedOn w:val="1"/>
    <w:qFormat/>
    <w:uiPriority w:val="99"/>
    <w:pPr>
      <w:ind w:firstLine="420" w:firstLineChars="200"/>
    </w:pPr>
  </w:style>
  <w:style w:type="character" w:customStyle="1" w:styleId="13">
    <w:name w:val="批注框文本 Char"/>
    <w:basedOn w:val="8"/>
    <w:link w:val="3"/>
    <w:uiPriority w:val="0"/>
    <w:rPr>
      <w:rFonts w:cstheme="minorBidi"/>
      <w:kern w:val="2"/>
      <w:sz w:val="18"/>
      <w:szCs w:val="18"/>
    </w:rPr>
  </w:style>
  <w:style w:type="character" w:customStyle="1" w:styleId="14">
    <w:name w:val="页脚 Char"/>
    <w:basedOn w:val="8"/>
    <w:link w:val="4"/>
    <w:uiPriority w:val="99"/>
    <w:rPr>
      <w:rFonts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524F909-60E1-4C2D-8626-C6948462FEB6}">
  <ds:schemaRefs/>
</ds:datastoreItem>
</file>

<file path=docProps/app.xml><?xml version="1.0" encoding="utf-8"?>
<Properties xmlns="http://schemas.openxmlformats.org/officeDocument/2006/extended-properties" xmlns:vt="http://schemas.openxmlformats.org/officeDocument/2006/docPropsVTypes">
  <Template>Normal</Template>
  <Pages>32</Pages>
  <Words>14850</Words>
  <Characters>19680</Characters>
  <Lines>147</Lines>
  <Paragraphs>41</Paragraphs>
  <TotalTime>102</TotalTime>
  <ScaleCrop>false</ScaleCrop>
  <LinksUpToDate>false</LinksUpToDate>
  <CharactersWithSpaces>20361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2021-12-09T01:43:00Z</dcterms:created>
  <dc:creator>ZoE.W</dc:creator>
  <cp:lastModifiedBy>WPS_1601087414</cp:lastModifiedBy>
  <dcterms:modified xsi:type="dcterms:W3CDTF">2023-03-01T09:27:38Z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83697944C54B45E2A535F71AA68309E6</vt:lpwstr>
  </property>
</Properties>
</file>